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454" w:rsidRPr="00FE3454" w:rsidRDefault="00FE3454" w:rsidP="00FE3454">
      <w:pPr>
        <w:spacing w:line="600" w:lineRule="exact"/>
        <w:rPr>
          <w:rFonts w:ascii="仿宋_GB2312" w:eastAsia="仿宋_GB2312" w:hint="eastAsia"/>
          <w:sz w:val="28"/>
          <w:szCs w:val="28"/>
        </w:rPr>
      </w:pPr>
      <w:r w:rsidRPr="00FE3454">
        <w:rPr>
          <w:rFonts w:ascii="仿宋_GB2312" w:eastAsia="仿宋_GB2312" w:hint="eastAsia"/>
          <w:sz w:val="28"/>
          <w:szCs w:val="28"/>
        </w:rPr>
        <w:t>附件2：</w:t>
      </w:r>
    </w:p>
    <w:p w:rsidR="00FE3454" w:rsidRPr="00FE3454" w:rsidRDefault="0020726F">
      <w:pPr>
        <w:spacing w:line="600" w:lineRule="exact"/>
        <w:jc w:val="center"/>
        <w:rPr>
          <w:rFonts w:ascii="方正小标宋简体" w:eastAsia="方正小标宋简体" w:hint="eastAsia"/>
          <w:sz w:val="36"/>
          <w:szCs w:val="36"/>
        </w:rPr>
      </w:pPr>
      <w:r w:rsidRPr="00FE3454">
        <w:rPr>
          <w:rFonts w:ascii="方正小标宋简体" w:eastAsia="方正小标宋简体" w:hint="eastAsia"/>
          <w:sz w:val="36"/>
          <w:szCs w:val="36"/>
        </w:rPr>
        <w:t>福建省</w:t>
      </w:r>
      <w:r w:rsidR="00FE3454" w:rsidRPr="00FE3454">
        <w:rPr>
          <w:rFonts w:ascii="方正小标宋简体" w:eastAsia="方正小标宋简体" w:hint="eastAsia"/>
          <w:sz w:val="36"/>
          <w:szCs w:val="36"/>
        </w:rPr>
        <w:t>安监局关于</w:t>
      </w:r>
      <w:r w:rsidR="00FE3454" w:rsidRPr="00FE3454">
        <w:rPr>
          <w:rFonts w:ascii="方正小标宋简体" w:eastAsia="方正小标宋简体" w:hint="eastAsia"/>
          <w:sz w:val="36"/>
          <w:szCs w:val="36"/>
        </w:rPr>
        <w:t>2017年度</w:t>
      </w:r>
      <w:r w:rsidRPr="00FE3454">
        <w:rPr>
          <w:rFonts w:ascii="方正小标宋简体" w:eastAsia="方正小标宋简体" w:hint="eastAsia"/>
          <w:sz w:val="36"/>
          <w:szCs w:val="36"/>
        </w:rPr>
        <w:t>安全生产</w:t>
      </w:r>
    </w:p>
    <w:p w:rsidR="00746202" w:rsidRPr="00FE3454" w:rsidRDefault="00FE3454">
      <w:pPr>
        <w:spacing w:line="600" w:lineRule="exact"/>
        <w:jc w:val="center"/>
        <w:rPr>
          <w:rFonts w:ascii="方正小标宋简体" w:eastAsia="方正小标宋简体"/>
          <w:sz w:val="36"/>
          <w:szCs w:val="36"/>
        </w:rPr>
      </w:pPr>
      <w:bookmarkStart w:id="0" w:name="_GoBack"/>
      <w:bookmarkEnd w:id="0"/>
      <w:r w:rsidRPr="00FE3454">
        <w:rPr>
          <w:rFonts w:ascii="方正小标宋简体" w:eastAsia="方正小标宋简体" w:hint="eastAsia"/>
          <w:sz w:val="36"/>
          <w:szCs w:val="36"/>
        </w:rPr>
        <w:t>“一张图”建设专项</w:t>
      </w:r>
      <w:r w:rsidR="0020726F" w:rsidRPr="00FE3454">
        <w:rPr>
          <w:rFonts w:ascii="方正小标宋简体" w:eastAsia="方正小标宋简体" w:hint="eastAsia"/>
          <w:sz w:val="36"/>
          <w:szCs w:val="36"/>
        </w:rPr>
        <w:t>资金</w:t>
      </w:r>
      <w:r w:rsidR="0020726F" w:rsidRPr="00FE3454">
        <w:rPr>
          <w:rFonts w:ascii="方正小标宋简体" w:eastAsia="方正小标宋简体" w:hint="eastAsia"/>
          <w:sz w:val="36"/>
          <w:szCs w:val="36"/>
        </w:rPr>
        <w:t>绩效自评报告</w:t>
      </w:r>
    </w:p>
    <w:p w:rsidR="00FE3454" w:rsidRDefault="00FE3454">
      <w:pPr>
        <w:spacing w:line="600" w:lineRule="exact"/>
        <w:ind w:firstLineChars="200" w:firstLine="640"/>
        <w:rPr>
          <w:rFonts w:ascii="黑体" w:eastAsia="黑体" w:hint="eastAsia"/>
          <w:sz w:val="32"/>
          <w:szCs w:val="32"/>
        </w:rPr>
      </w:pP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t>一、基本情况</w:t>
      </w:r>
    </w:p>
    <w:p w:rsidR="00746202" w:rsidRDefault="0020726F" w:rsidP="00FE3454">
      <w:pPr>
        <w:spacing w:line="600" w:lineRule="exact"/>
        <w:ind w:firstLineChars="200" w:firstLine="643"/>
        <w:rPr>
          <w:rFonts w:ascii="楷体_GB2312" w:eastAsia="楷体_GB2312"/>
          <w:b/>
          <w:sz w:val="32"/>
          <w:szCs w:val="32"/>
        </w:rPr>
      </w:pPr>
      <w:r>
        <w:rPr>
          <w:rFonts w:ascii="楷体_GB2312" w:eastAsia="楷体_GB2312" w:hint="eastAsia"/>
          <w:b/>
          <w:sz w:val="32"/>
          <w:szCs w:val="32"/>
        </w:rPr>
        <w:t>（一）中央下达专项转移支付预算和绩效目标情况</w:t>
      </w:r>
    </w:p>
    <w:p w:rsidR="00746202" w:rsidRDefault="0020726F">
      <w:pPr>
        <w:spacing w:line="600" w:lineRule="exact"/>
        <w:ind w:firstLineChars="200" w:firstLine="640"/>
        <w:rPr>
          <w:rFonts w:ascii="华文仿宋" w:eastAsia="华文仿宋" w:cs="宋体"/>
          <w:color w:val="111111"/>
          <w:kern w:val="0"/>
          <w:sz w:val="32"/>
          <w:szCs w:val="32"/>
        </w:rPr>
      </w:pPr>
      <w:r>
        <w:rPr>
          <w:rFonts w:ascii="华文仿宋" w:eastAsia="华文仿宋" w:cs="宋体" w:hint="eastAsia"/>
          <w:color w:val="111111"/>
          <w:kern w:val="0"/>
          <w:sz w:val="32"/>
          <w:szCs w:val="32"/>
        </w:rPr>
        <w:t>根据国家安全监管总局下达了《关于下达</w:t>
      </w:r>
      <w:r>
        <w:rPr>
          <w:rFonts w:ascii="华文仿宋" w:eastAsia="华文仿宋" w:cs="宋体" w:hint="eastAsia"/>
          <w:color w:val="111111"/>
          <w:kern w:val="0"/>
          <w:sz w:val="32"/>
          <w:szCs w:val="32"/>
        </w:rPr>
        <w:t>2017</w:t>
      </w:r>
      <w:r>
        <w:rPr>
          <w:rFonts w:ascii="华文仿宋" w:eastAsia="华文仿宋" w:cs="宋体" w:hint="eastAsia"/>
          <w:color w:val="111111"/>
          <w:kern w:val="0"/>
          <w:sz w:val="32"/>
          <w:szCs w:val="32"/>
        </w:rPr>
        <w:t>年安全生产预防及应急专项资金的通知》（安</w:t>
      </w:r>
      <w:proofErr w:type="gramStart"/>
      <w:r>
        <w:rPr>
          <w:rFonts w:ascii="华文仿宋" w:eastAsia="华文仿宋" w:cs="宋体" w:hint="eastAsia"/>
          <w:color w:val="111111"/>
          <w:kern w:val="0"/>
          <w:sz w:val="32"/>
          <w:szCs w:val="32"/>
        </w:rPr>
        <w:t>监总财</w:t>
      </w:r>
      <w:r>
        <w:rPr>
          <w:rFonts w:ascii="华文仿宋" w:eastAsia="华文仿宋" w:cs="宋体" w:hint="eastAsia"/>
          <w:color w:val="111111"/>
          <w:kern w:val="0"/>
          <w:sz w:val="32"/>
          <w:szCs w:val="32"/>
        </w:rPr>
        <w:t>[</w:t>
      </w:r>
      <w:proofErr w:type="gramEnd"/>
      <w:r>
        <w:rPr>
          <w:rFonts w:ascii="华文仿宋" w:eastAsia="华文仿宋" w:cs="宋体" w:hint="eastAsia"/>
          <w:color w:val="111111"/>
          <w:kern w:val="0"/>
          <w:sz w:val="32"/>
          <w:szCs w:val="32"/>
        </w:rPr>
        <w:t>2017]79</w:t>
      </w:r>
      <w:r>
        <w:rPr>
          <w:rFonts w:ascii="华文仿宋" w:eastAsia="华文仿宋" w:cs="宋体" w:hint="eastAsia"/>
          <w:color w:val="111111"/>
          <w:kern w:val="0"/>
          <w:sz w:val="32"/>
          <w:szCs w:val="32"/>
        </w:rPr>
        <w:t>号），安排我省专项资金</w:t>
      </w:r>
      <w:r>
        <w:rPr>
          <w:rFonts w:ascii="华文仿宋" w:eastAsia="华文仿宋" w:cs="宋体" w:hint="eastAsia"/>
          <w:color w:val="111111"/>
          <w:kern w:val="0"/>
          <w:sz w:val="32"/>
          <w:szCs w:val="32"/>
        </w:rPr>
        <w:t>1938</w:t>
      </w:r>
      <w:r>
        <w:rPr>
          <w:rFonts w:ascii="华文仿宋" w:eastAsia="华文仿宋" w:cs="宋体" w:hint="eastAsia"/>
          <w:color w:val="111111"/>
          <w:kern w:val="0"/>
          <w:sz w:val="32"/>
          <w:szCs w:val="32"/>
        </w:rPr>
        <w:t>万元，建设安全生产综合信息平台、安全生产“一张网”安监云、安全监管移动执法系统和终端配备、高危行业（危险化学品）企业风险预警与防控工程试点项目、应急救援指挥系统等。</w:t>
      </w:r>
    </w:p>
    <w:p w:rsidR="00746202" w:rsidRDefault="0020726F" w:rsidP="00FE3454">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（二）省内分解下达预算和绩效目标情况</w:t>
      </w:r>
    </w:p>
    <w:p w:rsidR="00746202" w:rsidRDefault="0020726F">
      <w:pPr>
        <w:spacing w:line="600" w:lineRule="exact"/>
        <w:ind w:firstLine="420"/>
        <w:rPr>
          <w:rFonts w:ascii="仿宋_GB2312" w:eastAsia="仿宋_GB2312" w:cs="宋体"/>
          <w:color w:val="111111"/>
          <w:kern w:val="0"/>
          <w:sz w:val="32"/>
          <w:szCs w:val="32"/>
        </w:rPr>
      </w:pPr>
      <w:r>
        <w:rPr>
          <w:rFonts w:ascii="仿宋_GB2312" w:eastAsia="仿宋_GB2312" w:cs="宋体" w:hint="eastAsia"/>
          <w:color w:val="111111"/>
          <w:kern w:val="0"/>
          <w:sz w:val="32"/>
          <w:szCs w:val="32"/>
        </w:rPr>
        <w:t>根据《国家安全监管总局办公厅关于申报安全生产风险预警与防控工程</w:t>
      </w:r>
      <w:r>
        <w:rPr>
          <w:rFonts w:ascii="仿宋_GB2312" w:eastAsia="仿宋_GB2312" w:cs="宋体" w:hint="eastAsia"/>
          <w:color w:val="111111"/>
          <w:kern w:val="0"/>
          <w:sz w:val="32"/>
          <w:szCs w:val="32"/>
        </w:rPr>
        <w:t>2017</w:t>
      </w:r>
      <w:r>
        <w:rPr>
          <w:rFonts w:ascii="仿宋_GB2312" w:eastAsia="仿宋_GB2312" w:cs="宋体" w:hint="eastAsia"/>
          <w:color w:val="111111"/>
          <w:kern w:val="0"/>
          <w:sz w:val="32"/>
          <w:szCs w:val="32"/>
        </w:rPr>
        <w:t>年项目的通知》、《福建省安全生产风险预警与防控工程实施方案》，省内分解下达预算和绩效目标情况：</w:t>
      </w:r>
    </w:p>
    <w:p w:rsidR="00746202" w:rsidRDefault="0020726F" w:rsidP="00FE3454">
      <w:pPr>
        <w:spacing w:line="600" w:lineRule="exact"/>
        <w:ind w:firstLineChars="200" w:firstLine="643"/>
        <w:rPr>
          <w:rFonts w:ascii="仿宋_GB2312" w:eastAsia="仿宋_GB2312" w:cs="宋体"/>
          <w:b/>
          <w:color w:val="111111"/>
          <w:kern w:val="0"/>
          <w:sz w:val="32"/>
          <w:szCs w:val="32"/>
        </w:rPr>
      </w:pPr>
      <w:r>
        <w:rPr>
          <w:rFonts w:ascii="仿宋_GB2312" w:eastAsia="仿宋_GB2312" w:cs="宋体"/>
          <w:b/>
          <w:color w:val="111111"/>
          <w:kern w:val="0"/>
          <w:sz w:val="32"/>
          <w:szCs w:val="32"/>
        </w:rPr>
        <w:t>1.</w:t>
      </w:r>
      <w:r>
        <w:rPr>
          <w:rFonts w:ascii="仿宋_GB2312" w:eastAsia="仿宋_GB2312" w:cs="宋体" w:hint="eastAsia"/>
          <w:b/>
          <w:color w:val="111111"/>
          <w:kern w:val="0"/>
          <w:sz w:val="32"/>
          <w:szCs w:val="32"/>
        </w:rPr>
        <w:t>安全生产综合信息平台，建设资金为：</w:t>
      </w:r>
      <w:r>
        <w:rPr>
          <w:rFonts w:ascii="仿宋_GB2312" w:eastAsia="仿宋_GB2312" w:cs="宋体"/>
          <w:b/>
          <w:color w:val="111111"/>
          <w:kern w:val="0"/>
          <w:sz w:val="32"/>
          <w:szCs w:val="32"/>
        </w:rPr>
        <w:t>500</w:t>
      </w:r>
      <w:r>
        <w:rPr>
          <w:rFonts w:ascii="仿宋_GB2312" w:eastAsia="仿宋_GB2312" w:cs="宋体" w:hint="eastAsia"/>
          <w:b/>
          <w:color w:val="111111"/>
          <w:kern w:val="0"/>
          <w:sz w:val="32"/>
          <w:szCs w:val="32"/>
        </w:rPr>
        <w:t>万元。</w:t>
      </w:r>
    </w:p>
    <w:p w:rsidR="00746202" w:rsidRDefault="0020726F">
      <w:pPr>
        <w:spacing w:line="600" w:lineRule="exact"/>
        <w:ind w:firstLineChars="181" w:firstLine="579"/>
        <w:rPr>
          <w:rFonts w:ascii="仿宋_GB2312" w:eastAsia="仿宋_GB2312" w:cs="宋体"/>
          <w:color w:val="111111"/>
          <w:kern w:val="0"/>
          <w:sz w:val="32"/>
          <w:szCs w:val="32"/>
        </w:rPr>
      </w:pPr>
      <w:r>
        <w:rPr>
          <w:rFonts w:ascii="仿宋_GB2312" w:eastAsia="仿宋_GB2312" w:cs="宋体" w:hint="eastAsia"/>
          <w:color w:val="111111"/>
          <w:kern w:val="0"/>
          <w:sz w:val="32"/>
          <w:szCs w:val="32"/>
        </w:rPr>
        <w:t>由省安监局建立覆盖全系统、各环节的信息化体系，对安全生产风险预警与防控的各项业务实现全面支撑，有利于统一执法标准，提高工作效率，增强办事透明度，提高科学决策水平，提高社会和公众的满意度。</w:t>
      </w:r>
    </w:p>
    <w:p w:rsidR="00746202" w:rsidRDefault="0020726F" w:rsidP="00FE3454">
      <w:pPr>
        <w:spacing w:line="600" w:lineRule="exact"/>
        <w:ind w:firstLineChars="181" w:firstLine="581"/>
        <w:rPr>
          <w:rFonts w:ascii="仿宋_GB2312" w:eastAsia="仿宋_GB2312" w:cs="宋体"/>
          <w:b/>
          <w:color w:val="111111"/>
          <w:kern w:val="0"/>
          <w:sz w:val="32"/>
          <w:szCs w:val="32"/>
        </w:rPr>
      </w:pPr>
      <w:r>
        <w:rPr>
          <w:rFonts w:ascii="楷体_GB2312" w:eastAsia="楷体_GB2312" w:hint="eastAsia"/>
          <w:b/>
          <w:sz w:val="32"/>
          <w:szCs w:val="32"/>
        </w:rPr>
        <w:t>2.</w:t>
      </w:r>
      <w:r>
        <w:rPr>
          <w:rFonts w:ascii="楷体_GB2312" w:eastAsia="楷体_GB2312" w:hint="eastAsia"/>
          <w:b/>
          <w:sz w:val="32"/>
          <w:szCs w:val="32"/>
        </w:rPr>
        <w:t>安全生产“一张网”安监云</w:t>
      </w:r>
      <w:r>
        <w:rPr>
          <w:rFonts w:ascii="仿宋_GB2312" w:eastAsia="仿宋_GB2312" w:cs="宋体" w:hint="eastAsia"/>
          <w:b/>
          <w:color w:val="111111"/>
          <w:kern w:val="0"/>
          <w:sz w:val="32"/>
          <w:szCs w:val="32"/>
        </w:rPr>
        <w:t>，建设资金为：</w:t>
      </w:r>
      <w:r>
        <w:rPr>
          <w:rFonts w:ascii="仿宋_GB2312" w:eastAsia="仿宋_GB2312" w:cs="宋体"/>
          <w:b/>
          <w:color w:val="111111"/>
          <w:kern w:val="0"/>
          <w:sz w:val="32"/>
          <w:szCs w:val="32"/>
        </w:rPr>
        <w:t>460</w:t>
      </w:r>
      <w:r>
        <w:rPr>
          <w:rFonts w:ascii="仿宋_GB2312" w:eastAsia="仿宋_GB2312" w:cs="宋体" w:hint="eastAsia"/>
          <w:b/>
          <w:color w:val="111111"/>
          <w:kern w:val="0"/>
          <w:sz w:val="32"/>
          <w:szCs w:val="32"/>
        </w:rPr>
        <w:t>万元。</w:t>
      </w:r>
    </w:p>
    <w:p w:rsidR="00746202" w:rsidRDefault="0020726F">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由省安监局将云计算、物联网、大数据、移动互联网等先进信息技术与安全生产业务深度融合，完成全省网络节点和基础资源建设、连接，实现安全生产信息化“一张网”的基本格局，加快各级安监信息化业务建设，提高安全监管工作的规范化、科学化、智慧化水平，为解决安全生产事故提供信息化支撑保障。</w:t>
      </w:r>
    </w:p>
    <w:p w:rsidR="00746202" w:rsidRDefault="0020726F" w:rsidP="00FE3454">
      <w:pPr>
        <w:tabs>
          <w:tab w:val="left" w:pos="7455"/>
        </w:tabs>
        <w:spacing w:line="600" w:lineRule="exact"/>
        <w:ind w:firstLineChars="200" w:firstLine="643"/>
        <w:rPr>
          <w:rFonts w:ascii="楷体_GB2312" w:eastAsia="楷体_GB2312"/>
          <w:b/>
          <w:sz w:val="32"/>
          <w:szCs w:val="32"/>
        </w:rPr>
      </w:pPr>
      <w:r>
        <w:rPr>
          <w:rFonts w:ascii="楷体_GB2312" w:eastAsia="楷体_GB2312" w:hint="eastAsia"/>
          <w:b/>
          <w:sz w:val="32"/>
          <w:szCs w:val="32"/>
        </w:rPr>
        <w:t>3.</w:t>
      </w:r>
      <w:r>
        <w:rPr>
          <w:rFonts w:ascii="楷体_GB2312" w:eastAsia="楷体_GB2312" w:hint="eastAsia"/>
          <w:b/>
          <w:sz w:val="32"/>
          <w:szCs w:val="32"/>
        </w:rPr>
        <w:t>安全监管移动执法系统和终端配备，建设资金为：</w:t>
      </w:r>
      <w:r>
        <w:rPr>
          <w:rFonts w:ascii="楷体_GB2312" w:eastAsia="楷体_GB2312"/>
          <w:b/>
          <w:sz w:val="32"/>
          <w:szCs w:val="32"/>
        </w:rPr>
        <w:t>300</w:t>
      </w:r>
      <w:r>
        <w:rPr>
          <w:rFonts w:ascii="楷体_GB2312" w:eastAsia="楷体_GB2312" w:hint="eastAsia"/>
          <w:b/>
          <w:sz w:val="32"/>
          <w:szCs w:val="32"/>
        </w:rPr>
        <w:t>万元。</w:t>
      </w:r>
    </w:p>
    <w:p w:rsidR="00746202" w:rsidRDefault="0020726F">
      <w:pPr>
        <w:spacing w:line="600" w:lineRule="exact"/>
        <w:ind w:firstLineChars="200" w:firstLine="640"/>
        <w:rPr>
          <w:rFonts w:ascii="仿宋_GB2312" w:eastAsia="仿宋_GB2312" w:cs="宋体"/>
          <w:color w:val="111111"/>
          <w:kern w:val="0"/>
          <w:sz w:val="32"/>
          <w:szCs w:val="32"/>
        </w:rPr>
      </w:pPr>
      <w:r>
        <w:rPr>
          <w:rFonts w:ascii="仿宋_GB2312" w:eastAsia="仿宋_GB2312" w:cs="宋体" w:hint="eastAsia"/>
          <w:color w:val="111111"/>
          <w:kern w:val="0"/>
          <w:sz w:val="32"/>
          <w:szCs w:val="32"/>
        </w:rPr>
        <w:t>由省安监局为全</w:t>
      </w:r>
      <w:r>
        <w:rPr>
          <w:rFonts w:ascii="仿宋_GB2312" w:eastAsia="仿宋_GB2312" w:cs="仿宋_GB2312" w:hint="eastAsia"/>
          <w:sz w:val="32"/>
          <w:szCs w:val="32"/>
        </w:rPr>
        <w:t>省、市、区县三级</w:t>
      </w:r>
      <w:r>
        <w:rPr>
          <w:rFonts w:ascii="仿宋_GB2312" w:eastAsia="仿宋_GB2312" w:cs="宋体" w:hint="eastAsia"/>
          <w:color w:val="111111"/>
          <w:kern w:val="0"/>
          <w:sz w:val="32"/>
          <w:szCs w:val="32"/>
        </w:rPr>
        <w:t>安全执法队伍配备移动执法设备，满足现场检查执法全过程记录和闭环管理的需要，有利于统一执法标准，防止人为因素对行政执法的干预，规范执法行为，提高工</w:t>
      </w:r>
      <w:r>
        <w:rPr>
          <w:rFonts w:ascii="仿宋_GB2312" w:eastAsia="仿宋_GB2312" w:cs="宋体" w:hint="eastAsia"/>
          <w:color w:val="111111"/>
          <w:kern w:val="0"/>
          <w:sz w:val="32"/>
          <w:szCs w:val="32"/>
        </w:rPr>
        <w:t>作效率。</w:t>
      </w:r>
    </w:p>
    <w:p w:rsidR="00746202" w:rsidRDefault="0020726F">
      <w:pPr>
        <w:spacing w:line="600" w:lineRule="exact"/>
        <w:ind w:firstLineChars="200" w:firstLine="640"/>
        <w:rPr>
          <w:rFonts w:ascii="仿宋_GB2312" w:eastAsia="仿宋_GB2312" w:cs="宋体"/>
          <w:b/>
          <w:color w:val="111111"/>
          <w:kern w:val="0"/>
          <w:sz w:val="32"/>
          <w:szCs w:val="32"/>
        </w:rPr>
      </w:pPr>
      <w:r>
        <w:rPr>
          <w:rFonts w:ascii="仿宋_GB2312" w:eastAsia="仿宋_GB2312" w:hint="eastAsia"/>
          <w:sz w:val="32"/>
          <w:szCs w:val="32"/>
        </w:rPr>
        <w:t>4.</w:t>
      </w:r>
      <w:r>
        <w:rPr>
          <w:rFonts w:ascii="楷体_GB2312" w:eastAsia="楷体_GB2312" w:hint="eastAsia"/>
          <w:b/>
          <w:sz w:val="32"/>
          <w:szCs w:val="32"/>
        </w:rPr>
        <w:t>高危行业（危险化学品）企业风险预警与防控工程试点项目</w:t>
      </w:r>
      <w:r>
        <w:rPr>
          <w:rFonts w:ascii="仿宋_GB2312" w:eastAsia="仿宋_GB2312" w:cs="宋体" w:hint="eastAsia"/>
          <w:b/>
          <w:color w:val="111111"/>
          <w:kern w:val="0"/>
          <w:sz w:val="32"/>
          <w:szCs w:val="32"/>
        </w:rPr>
        <w:t>，建设资金为：</w:t>
      </w:r>
      <w:r>
        <w:rPr>
          <w:rFonts w:ascii="仿宋_GB2312" w:eastAsia="仿宋_GB2312" w:cs="宋体"/>
          <w:b/>
          <w:color w:val="111111"/>
          <w:kern w:val="0"/>
          <w:sz w:val="32"/>
          <w:szCs w:val="32"/>
        </w:rPr>
        <w:t>320</w:t>
      </w:r>
      <w:r>
        <w:rPr>
          <w:rFonts w:ascii="仿宋_GB2312" w:eastAsia="仿宋_GB2312" w:cs="宋体" w:hint="eastAsia"/>
          <w:b/>
          <w:color w:val="111111"/>
          <w:kern w:val="0"/>
          <w:sz w:val="32"/>
          <w:szCs w:val="32"/>
        </w:rPr>
        <w:t>万元。</w:t>
      </w:r>
    </w:p>
    <w:p w:rsidR="00746202" w:rsidRDefault="0020726F">
      <w:pPr>
        <w:spacing w:line="600" w:lineRule="exact"/>
        <w:ind w:firstLineChars="200" w:firstLine="640"/>
        <w:rPr>
          <w:rFonts w:ascii="仿宋_GB2312" w:eastAsia="仿宋_GB2312"/>
          <w:sz w:val="32"/>
          <w:szCs w:val="32"/>
        </w:rPr>
      </w:pPr>
      <w:r>
        <w:rPr>
          <w:rFonts w:ascii="仿宋_GB2312" w:eastAsia="仿宋_GB2312" w:hint="eastAsia"/>
          <w:sz w:val="32"/>
          <w:szCs w:val="32"/>
        </w:rPr>
        <w:t>省安监局采用云计算、物联网等技术，构建重大危险源监管信息平台。两个化工园区负责园区平台、企业数据采集建设。通过高危行业（危险化学品）企业风险预警与防控工程试点项目有利于省、市、县监管部门了解危险源参数信息、特征等，通过数据采集和分析，有针对地实施监管，强化安全基础管理，落实安全生产责任，进一步增强有效防范和遏制重特大事故的手段和措施，减少突发事件导致的人员伤亡和经济损失。</w:t>
      </w:r>
    </w:p>
    <w:p w:rsidR="00746202" w:rsidRDefault="0020726F">
      <w:pPr>
        <w:spacing w:line="600" w:lineRule="exact"/>
        <w:ind w:firstLineChars="200" w:firstLine="640"/>
        <w:rPr>
          <w:rFonts w:ascii="楷体_GB2312" w:eastAsia="楷体_GB2312"/>
          <w:b/>
          <w:sz w:val="32"/>
          <w:szCs w:val="32"/>
        </w:rPr>
      </w:pPr>
      <w:r>
        <w:rPr>
          <w:rFonts w:ascii="仿宋_GB2312" w:eastAsia="仿宋_GB2312"/>
          <w:sz w:val="32"/>
          <w:szCs w:val="32"/>
        </w:rPr>
        <w:t>5.</w:t>
      </w:r>
      <w:r>
        <w:rPr>
          <w:rFonts w:ascii="楷体_GB2312" w:eastAsia="楷体_GB2312" w:hint="eastAsia"/>
          <w:b/>
          <w:sz w:val="32"/>
          <w:szCs w:val="32"/>
        </w:rPr>
        <w:t>安全生产应急救援指挥系统</w:t>
      </w:r>
      <w:r>
        <w:rPr>
          <w:rFonts w:ascii="仿宋_GB2312" w:eastAsia="仿宋_GB2312" w:cs="宋体" w:hint="eastAsia"/>
          <w:b/>
          <w:color w:val="111111"/>
          <w:kern w:val="0"/>
          <w:sz w:val="32"/>
          <w:szCs w:val="32"/>
        </w:rPr>
        <w:t>，建设资金为</w:t>
      </w:r>
      <w:r>
        <w:rPr>
          <w:rFonts w:ascii="楷体_GB2312" w:eastAsia="楷体_GB2312" w:hint="eastAsia"/>
          <w:b/>
          <w:sz w:val="32"/>
          <w:szCs w:val="32"/>
        </w:rPr>
        <w:t>：</w:t>
      </w:r>
      <w:r>
        <w:rPr>
          <w:rFonts w:ascii="楷体_GB2312" w:eastAsia="楷体_GB2312"/>
          <w:b/>
          <w:sz w:val="32"/>
          <w:szCs w:val="32"/>
        </w:rPr>
        <w:t>200</w:t>
      </w:r>
      <w:r>
        <w:rPr>
          <w:rFonts w:ascii="楷体_GB2312" w:eastAsia="楷体_GB2312" w:hint="eastAsia"/>
          <w:b/>
          <w:sz w:val="32"/>
          <w:szCs w:val="32"/>
        </w:rPr>
        <w:t>万元。</w:t>
      </w:r>
    </w:p>
    <w:p w:rsidR="00746202" w:rsidRDefault="0020726F">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由省安监局整合我省现有的安全生产应急指挥信息化基础设施和应用平台，降低行政成本；改善安全生产应急救援模式，提供工作效率；建设演练基地，建立平战结合的应急救援平台，提升对突发事件的响应与处置能力，实现生产应急管理和协调指挥的信息化、科学化和智能化。</w:t>
      </w:r>
    </w:p>
    <w:p w:rsidR="00746202" w:rsidRDefault="0020726F">
      <w:pPr>
        <w:spacing w:line="600" w:lineRule="exact"/>
        <w:ind w:firstLineChars="200" w:firstLine="640"/>
        <w:rPr>
          <w:rFonts w:ascii="仿宋_GB2312" w:eastAsia="仿宋_GB2312"/>
          <w:sz w:val="32"/>
          <w:szCs w:val="32"/>
        </w:rPr>
      </w:pPr>
      <w:r>
        <w:rPr>
          <w:rFonts w:ascii="仿宋_GB2312" w:eastAsia="仿宋_GB2312" w:hint="eastAsia"/>
          <w:sz w:val="32"/>
          <w:szCs w:val="32"/>
        </w:rPr>
        <w:t>工程其他费用：</w:t>
      </w:r>
      <w:r>
        <w:rPr>
          <w:rFonts w:ascii="仿宋_GB2312" w:eastAsia="仿宋_GB2312"/>
          <w:sz w:val="32"/>
          <w:szCs w:val="32"/>
        </w:rPr>
        <w:t>158</w:t>
      </w:r>
      <w:r>
        <w:rPr>
          <w:rFonts w:ascii="仿宋_GB2312" w:eastAsia="仿宋_GB2312" w:hint="eastAsia"/>
          <w:sz w:val="32"/>
          <w:szCs w:val="32"/>
        </w:rPr>
        <w:t>万元，包括初步设计、工程监理费用、应用业务软件质量测评、信息系统安全验收评测、建设单位管理费、招标代理服务费。</w:t>
      </w: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t>二、绩效自评工作开展情况</w:t>
      </w:r>
    </w:p>
    <w:p w:rsidR="00746202" w:rsidRDefault="0020726F">
      <w:pPr>
        <w:spacing w:line="600" w:lineRule="exact"/>
        <w:ind w:firstLine="420"/>
        <w:rPr>
          <w:rFonts w:ascii="楷体_GB2312" w:eastAsia="楷体_GB2312"/>
          <w:b/>
          <w:sz w:val="32"/>
          <w:szCs w:val="32"/>
        </w:rPr>
      </w:pPr>
      <w:r>
        <w:rPr>
          <w:rFonts w:ascii="楷体_GB2312" w:eastAsia="楷体_GB2312" w:hint="eastAsia"/>
          <w:b/>
          <w:sz w:val="32"/>
          <w:szCs w:val="32"/>
        </w:rPr>
        <w:t>（一）前期准备</w:t>
      </w:r>
    </w:p>
    <w:p w:rsidR="00746202" w:rsidRDefault="0020726F">
      <w:pPr>
        <w:spacing w:line="600" w:lineRule="exact"/>
        <w:ind w:firstLine="420"/>
        <w:rPr>
          <w:rFonts w:ascii="仿宋_GB2312" w:eastAsia="仿宋_GB2312" w:cs="宋体"/>
          <w:color w:val="111111"/>
          <w:kern w:val="0"/>
          <w:sz w:val="32"/>
          <w:szCs w:val="32"/>
        </w:rPr>
      </w:pPr>
      <w:r>
        <w:rPr>
          <w:rFonts w:ascii="仿宋_GB2312" w:eastAsia="仿宋_GB2312" w:cs="宋体" w:hint="eastAsia"/>
          <w:color w:val="111111"/>
          <w:kern w:val="0"/>
          <w:sz w:val="32"/>
          <w:szCs w:val="32"/>
        </w:rPr>
        <w:t>局领导牵头组织，各处</w:t>
      </w:r>
      <w:proofErr w:type="gramStart"/>
      <w:r>
        <w:rPr>
          <w:rFonts w:ascii="仿宋_GB2312" w:eastAsia="仿宋_GB2312" w:cs="宋体" w:hint="eastAsia"/>
          <w:color w:val="111111"/>
          <w:kern w:val="0"/>
          <w:sz w:val="32"/>
          <w:szCs w:val="32"/>
        </w:rPr>
        <w:t>室密切</w:t>
      </w:r>
      <w:proofErr w:type="gramEnd"/>
      <w:r>
        <w:rPr>
          <w:rFonts w:ascii="仿宋_GB2312" w:eastAsia="仿宋_GB2312" w:cs="宋体" w:hint="eastAsia"/>
          <w:color w:val="111111"/>
          <w:kern w:val="0"/>
          <w:sz w:val="32"/>
          <w:szCs w:val="32"/>
        </w:rPr>
        <w:t>配合，充分认识和发挥绩效自评工作重要性，理顺工作机</w:t>
      </w:r>
      <w:r>
        <w:rPr>
          <w:rFonts w:ascii="仿宋_GB2312" w:eastAsia="仿宋_GB2312" w:cs="宋体" w:hint="eastAsia"/>
          <w:color w:val="111111"/>
          <w:kern w:val="0"/>
          <w:sz w:val="32"/>
          <w:szCs w:val="32"/>
        </w:rPr>
        <w:t>制，制定具体措施，形成工作合力，切实做好我局绩效自评工作。明确各处室责任，在具体工作中，做到各相关预算部门、处室的沟通、协调和联系，共同配合，促进绩效自评工作的规范、有序、顺利开展。</w:t>
      </w:r>
    </w:p>
    <w:p w:rsidR="00746202" w:rsidRDefault="0020726F">
      <w:pPr>
        <w:spacing w:line="600" w:lineRule="exact"/>
        <w:ind w:firstLine="420"/>
        <w:rPr>
          <w:rFonts w:ascii="楷体_GB2312" w:eastAsia="楷体_GB2312"/>
          <w:b/>
          <w:sz w:val="32"/>
          <w:szCs w:val="32"/>
        </w:rPr>
      </w:pPr>
      <w:r>
        <w:rPr>
          <w:rFonts w:ascii="楷体_GB2312" w:eastAsia="楷体_GB2312" w:hint="eastAsia"/>
          <w:b/>
          <w:sz w:val="32"/>
          <w:szCs w:val="32"/>
        </w:rPr>
        <w:t>（二）组织过程</w:t>
      </w:r>
    </w:p>
    <w:p w:rsidR="00746202" w:rsidRDefault="0020726F">
      <w:pPr>
        <w:spacing w:line="600" w:lineRule="exact"/>
        <w:ind w:firstLineChars="200" w:firstLine="640"/>
        <w:rPr>
          <w:rFonts w:ascii="仿宋_GB2312" w:eastAsia="仿宋_GB2312" w:cs="宋体"/>
          <w:color w:val="111111"/>
          <w:kern w:val="0"/>
          <w:sz w:val="32"/>
          <w:szCs w:val="32"/>
        </w:rPr>
      </w:pPr>
      <w:r>
        <w:rPr>
          <w:rFonts w:ascii="仿宋_GB2312" w:eastAsia="仿宋_GB2312" w:cs="宋体" w:hint="eastAsia"/>
          <w:color w:val="111111"/>
          <w:kern w:val="0"/>
          <w:sz w:val="32"/>
          <w:szCs w:val="32"/>
        </w:rPr>
        <w:t>我局高度重视项目绩效自评工作，对具体工作</w:t>
      </w:r>
      <w:proofErr w:type="gramStart"/>
      <w:r>
        <w:rPr>
          <w:rFonts w:ascii="仿宋_GB2312" w:eastAsia="仿宋_GB2312" w:cs="宋体" w:hint="eastAsia"/>
          <w:color w:val="111111"/>
          <w:kern w:val="0"/>
          <w:sz w:val="32"/>
          <w:szCs w:val="32"/>
        </w:rPr>
        <w:t>作</w:t>
      </w:r>
      <w:proofErr w:type="gramEnd"/>
      <w:r>
        <w:rPr>
          <w:rFonts w:ascii="仿宋_GB2312" w:eastAsia="仿宋_GB2312" w:cs="宋体" w:hint="eastAsia"/>
          <w:color w:val="111111"/>
          <w:kern w:val="0"/>
          <w:sz w:val="32"/>
          <w:szCs w:val="32"/>
        </w:rPr>
        <w:t>了周密部署，统筹协调各方面力量，把绩效自评工作列入重要议事日程，并将其作为加强自身财务建设，提高项目资金使用效益的重要手段，切实抓紧抓好。</w:t>
      </w:r>
    </w:p>
    <w:p w:rsidR="00746202" w:rsidRDefault="0020726F">
      <w:pPr>
        <w:spacing w:line="600" w:lineRule="exact"/>
        <w:ind w:firstLine="420"/>
        <w:rPr>
          <w:rFonts w:ascii="楷体_GB2312" w:eastAsia="楷体_GB2312"/>
          <w:b/>
          <w:sz w:val="32"/>
          <w:szCs w:val="32"/>
        </w:rPr>
      </w:pPr>
      <w:r>
        <w:rPr>
          <w:rFonts w:ascii="楷体_GB2312" w:eastAsia="楷体_GB2312" w:hint="eastAsia"/>
          <w:b/>
          <w:sz w:val="32"/>
          <w:szCs w:val="32"/>
        </w:rPr>
        <w:t>（三）分析评价</w:t>
      </w:r>
    </w:p>
    <w:p w:rsidR="00746202" w:rsidRDefault="0020726F">
      <w:pPr>
        <w:ind w:firstLineChars="200" w:firstLine="640"/>
        <w:rPr>
          <w:rFonts w:ascii="仿宋_GB2312" w:eastAsia="仿宋_GB2312" w:cs="宋体"/>
          <w:bCs/>
          <w:color w:val="111111"/>
          <w:kern w:val="0"/>
          <w:sz w:val="32"/>
          <w:szCs w:val="32"/>
        </w:rPr>
      </w:pPr>
      <w:r>
        <w:rPr>
          <w:rFonts w:ascii="仿宋_GB2312" w:eastAsia="仿宋_GB2312" w:cs="宋体" w:hint="eastAsia"/>
          <w:bCs/>
          <w:color w:val="111111"/>
          <w:kern w:val="0"/>
          <w:sz w:val="32"/>
          <w:szCs w:val="32"/>
        </w:rPr>
        <w:t>整个自评工作，统筹开展，稳步推进，上下有序。财政支出项目绩效自评是一项全新的工作，各相关预算部门都能</w:t>
      </w:r>
      <w:r>
        <w:rPr>
          <w:rFonts w:ascii="仿宋_GB2312" w:eastAsia="仿宋_GB2312" w:cs="宋体" w:hint="eastAsia"/>
          <w:bCs/>
          <w:color w:val="111111"/>
          <w:kern w:val="0"/>
          <w:sz w:val="32"/>
          <w:szCs w:val="32"/>
        </w:rPr>
        <w:lastRenderedPageBreak/>
        <w:t>认真对待，把控项目建设进度和质量，认真做好绩效自评工作，积极探索建立适合本部门实际的绩效运行跟踪监控管理机制，切实发挥中央财政资金效益。</w:t>
      </w: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t>三、综合评价结论</w:t>
      </w:r>
    </w:p>
    <w:p w:rsidR="00746202" w:rsidRDefault="0020726F">
      <w:pPr>
        <w:spacing w:line="600" w:lineRule="exact"/>
        <w:ind w:firstLineChars="200" w:firstLine="640"/>
        <w:rPr>
          <w:rFonts w:ascii="仿宋_GB2312" w:eastAsia="仿宋_GB2312"/>
          <w:sz w:val="32"/>
          <w:szCs w:val="32"/>
        </w:rPr>
      </w:pPr>
      <w:r>
        <w:rPr>
          <w:rFonts w:ascii="仿宋_GB2312" w:eastAsia="仿宋_GB2312" w:hint="eastAsia"/>
          <w:sz w:val="32"/>
          <w:szCs w:val="32"/>
        </w:rPr>
        <w:t>按照《福建省财政厅转发财政部关于开展</w:t>
      </w:r>
      <w:r>
        <w:rPr>
          <w:rFonts w:ascii="仿宋_GB2312" w:eastAsia="仿宋_GB2312" w:hint="eastAsia"/>
          <w:sz w:val="32"/>
          <w:szCs w:val="32"/>
        </w:rPr>
        <w:t>2017</w:t>
      </w:r>
      <w:r>
        <w:rPr>
          <w:rFonts w:ascii="仿宋_GB2312" w:eastAsia="仿宋_GB2312" w:hint="eastAsia"/>
          <w:sz w:val="32"/>
          <w:szCs w:val="32"/>
        </w:rPr>
        <w:t>年度中央对地方专项转移支付绩效目标自评工作的通知》（</w:t>
      </w:r>
      <w:proofErr w:type="gramStart"/>
      <w:r>
        <w:rPr>
          <w:rFonts w:ascii="仿宋_GB2312" w:eastAsia="仿宋_GB2312" w:hint="eastAsia"/>
          <w:sz w:val="32"/>
          <w:szCs w:val="32"/>
        </w:rPr>
        <w:t>闽财绩函</w:t>
      </w:r>
      <w:proofErr w:type="gramEnd"/>
      <w:r>
        <w:rPr>
          <w:rFonts w:ascii="仿宋_GB2312" w:eastAsia="仿宋_GB2312" w:hint="eastAsia"/>
          <w:sz w:val="32"/>
          <w:szCs w:val="32"/>
        </w:rPr>
        <w:t>[2008]2</w:t>
      </w:r>
      <w:r>
        <w:rPr>
          <w:rFonts w:ascii="仿宋_GB2312" w:eastAsia="仿宋_GB2312" w:hint="eastAsia"/>
          <w:sz w:val="32"/>
          <w:szCs w:val="32"/>
        </w:rPr>
        <w:t>号），我局高度重视绩效评价工作，通过听取汇报、调阅核实相关资料等方式，对工作成效进行了检查、核实，年度绩效目标已基本完成，项目自评</w:t>
      </w:r>
      <w:r>
        <w:rPr>
          <w:rFonts w:ascii="仿宋_GB2312" w:eastAsia="仿宋_GB2312" w:hint="eastAsia"/>
          <w:sz w:val="32"/>
          <w:szCs w:val="32"/>
        </w:rPr>
        <w:t>80</w:t>
      </w:r>
      <w:r>
        <w:rPr>
          <w:rFonts w:ascii="仿宋_GB2312" w:eastAsia="仿宋_GB2312" w:hint="eastAsia"/>
          <w:sz w:val="32"/>
          <w:szCs w:val="32"/>
        </w:rPr>
        <w:t>分，自评良好等级。</w:t>
      </w: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t>四、绩效目标实现情况分析</w:t>
      </w:r>
    </w:p>
    <w:p w:rsidR="00746202" w:rsidRDefault="0020726F">
      <w:pPr>
        <w:spacing w:line="600" w:lineRule="exact"/>
        <w:ind w:firstLine="420"/>
        <w:rPr>
          <w:rFonts w:ascii="楷体_GB2312" w:eastAsia="楷体_GB2312"/>
          <w:b/>
          <w:sz w:val="32"/>
          <w:szCs w:val="32"/>
        </w:rPr>
      </w:pPr>
      <w:r>
        <w:rPr>
          <w:rFonts w:ascii="楷体_GB2312" w:eastAsia="楷体_GB2312" w:hint="eastAsia"/>
          <w:b/>
          <w:sz w:val="32"/>
          <w:szCs w:val="32"/>
        </w:rPr>
        <w:t>（一）项目资金情况分析</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1.</w:t>
      </w:r>
      <w:r>
        <w:rPr>
          <w:rFonts w:ascii="仿宋_GB2312" w:eastAsia="仿宋_GB2312" w:hint="eastAsia"/>
          <w:b/>
          <w:sz w:val="32"/>
          <w:szCs w:val="32"/>
        </w:rPr>
        <w:t>项目资金到位情况分析</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项目资金</w:t>
      </w:r>
      <w:r>
        <w:rPr>
          <w:rFonts w:ascii="仿宋_GB2312" w:eastAsia="仿宋_GB2312" w:hint="eastAsia"/>
          <w:sz w:val="32"/>
          <w:szCs w:val="32"/>
        </w:rPr>
        <w:t>1938</w:t>
      </w:r>
      <w:r>
        <w:rPr>
          <w:rFonts w:ascii="仿宋_GB2312" w:eastAsia="仿宋_GB2312" w:hint="eastAsia"/>
          <w:sz w:val="32"/>
          <w:szCs w:val="32"/>
        </w:rPr>
        <w:t>万元已全部到位。</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项目资金执行情况分析</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项目已支出</w:t>
      </w:r>
      <w:r>
        <w:rPr>
          <w:rFonts w:ascii="仿宋_GB2312" w:eastAsia="仿宋_GB2312" w:hint="eastAsia"/>
          <w:sz w:val="32"/>
          <w:szCs w:val="32"/>
        </w:rPr>
        <w:t>190.9282</w:t>
      </w:r>
      <w:r>
        <w:rPr>
          <w:rFonts w:ascii="仿宋_GB2312" w:eastAsia="仿宋_GB2312" w:hint="eastAsia"/>
          <w:sz w:val="32"/>
          <w:szCs w:val="32"/>
        </w:rPr>
        <w:t>万元，其中</w:t>
      </w:r>
      <w:r>
        <w:rPr>
          <w:rFonts w:ascii="仿宋_GB2312" w:eastAsia="仿宋_GB2312" w:hint="eastAsia"/>
          <w:sz w:val="32"/>
          <w:szCs w:val="32"/>
        </w:rPr>
        <w:t>120</w:t>
      </w:r>
      <w:r>
        <w:rPr>
          <w:rFonts w:ascii="仿宋_GB2312" w:eastAsia="仿宋_GB2312" w:hint="eastAsia"/>
          <w:sz w:val="32"/>
          <w:szCs w:val="32"/>
        </w:rPr>
        <w:t>万元用于建设上杭县</w:t>
      </w:r>
      <w:proofErr w:type="gramStart"/>
      <w:r>
        <w:rPr>
          <w:rFonts w:ascii="仿宋_GB2312" w:eastAsia="仿宋_GB2312" w:hint="eastAsia"/>
          <w:sz w:val="32"/>
          <w:szCs w:val="32"/>
        </w:rPr>
        <w:t>蛟</w:t>
      </w:r>
      <w:proofErr w:type="gramEnd"/>
      <w:r>
        <w:rPr>
          <w:rFonts w:ascii="仿宋_GB2312" w:eastAsia="仿宋_GB2312" w:hint="eastAsia"/>
          <w:sz w:val="32"/>
          <w:szCs w:val="32"/>
        </w:rPr>
        <w:t>洋化工</w:t>
      </w:r>
      <w:proofErr w:type="gramStart"/>
      <w:r>
        <w:rPr>
          <w:rFonts w:ascii="仿宋_GB2312" w:eastAsia="仿宋_GB2312" w:hint="eastAsia"/>
          <w:sz w:val="32"/>
          <w:szCs w:val="32"/>
        </w:rPr>
        <w:t>园区试点</w:t>
      </w:r>
      <w:proofErr w:type="gramEnd"/>
      <w:r>
        <w:rPr>
          <w:rFonts w:ascii="仿宋_GB2312" w:eastAsia="仿宋_GB2312" w:hint="eastAsia"/>
          <w:sz w:val="32"/>
          <w:szCs w:val="32"/>
        </w:rPr>
        <w:t>建设任务，</w:t>
      </w:r>
      <w:r>
        <w:rPr>
          <w:rFonts w:ascii="仿宋_GB2312" w:eastAsia="仿宋_GB2312" w:hint="eastAsia"/>
          <w:sz w:val="32"/>
          <w:szCs w:val="32"/>
        </w:rPr>
        <w:t>70.9282</w:t>
      </w:r>
      <w:r>
        <w:rPr>
          <w:rFonts w:ascii="仿宋_GB2312" w:eastAsia="仿宋_GB2312" w:hint="eastAsia"/>
          <w:sz w:val="32"/>
          <w:szCs w:val="32"/>
        </w:rPr>
        <w:t>万元</w:t>
      </w:r>
      <w:r>
        <w:rPr>
          <w:rFonts w:ascii="仿宋_GB2312" w:eastAsia="仿宋_GB2312" w:hint="eastAsia"/>
          <w:sz w:val="32"/>
          <w:szCs w:val="32"/>
        </w:rPr>
        <w:t>（其中招投标费用</w:t>
      </w:r>
      <w:r>
        <w:rPr>
          <w:rFonts w:ascii="仿宋_GB2312" w:eastAsia="仿宋_GB2312" w:hint="eastAsia"/>
          <w:sz w:val="32"/>
          <w:szCs w:val="32"/>
        </w:rPr>
        <w:t>10482</w:t>
      </w:r>
      <w:r>
        <w:rPr>
          <w:rFonts w:ascii="仿宋_GB2312" w:eastAsia="仿宋_GB2312" w:hint="eastAsia"/>
          <w:sz w:val="32"/>
          <w:szCs w:val="32"/>
        </w:rPr>
        <w:t>元）用于试点项目省局平台建设。</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项目资金管理情况分析</w:t>
      </w:r>
    </w:p>
    <w:p w:rsidR="00746202" w:rsidRDefault="0020726F">
      <w:pPr>
        <w:spacing w:line="600" w:lineRule="exact"/>
        <w:ind w:firstLine="420"/>
        <w:rPr>
          <w:rFonts w:ascii="仿宋_GB2312" w:eastAsia="仿宋_GB2312"/>
          <w:b/>
          <w:sz w:val="32"/>
          <w:szCs w:val="32"/>
        </w:rPr>
      </w:pPr>
      <w:r>
        <w:rPr>
          <w:rFonts w:ascii="仿宋_GB2312" w:eastAsia="仿宋_GB2312" w:cs="宋体"/>
          <w:color w:val="111111"/>
          <w:kern w:val="0"/>
          <w:sz w:val="32"/>
          <w:szCs w:val="32"/>
        </w:rPr>
        <w:t>局综合部门</w:t>
      </w:r>
      <w:r>
        <w:rPr>
          <w:rFonts w:ascii="仿宋_GB2312" w:eastAsia="仿宋_GB2312" w:cs="宋体" w:hint="eastAsia"/>
          <w:color w:val="111111"/>
          <w:kern w:val="0"/>
          <w:sz w:val="32"/>
          <w:szCs w:val="32"/>
        </w:rPr>
        <w:t>对</w:t>
      </w:r>
      <w:r>
        <w:rPr>
          <w:rFonts w:ascii="仿宋_GB2312" w:eastAsia="仿宋_GB2312" w:cs="宋体"/>
          <w:color w:val="111111"/>
          <w:kern w:val="0"/>
          <w:sz w:val="32"/>
          <w:szCs w:val="32"/>
        </w:rPr>
        <w:t>项目资金管理，</w:t>
      </w:r>
      <w:r>
        <w:rPr>
          <w:rFonts w:ascii="仿宋_GB2312" w:eastAsia="仿宋_GB2312" w:cs="宋体" w:hint="eastAsia"/>
          <w:color w:val="111111"/>
          <w:kern w:val="0"/>
          <w:sz w:val="32"/>
          <w:szCs w:val="32"/>
        </w:rPr>
        <w:t>按照《安全生产风险预警与防控工程申报书》和《福建省安全生产风险预警与防控工程实施方案》，专款专用，</w:t>
      </w:r>
      <w:r>
        <w:rPr>
          <w:rFonts w:ascii="仿宋_GB2312" w:eastAsia="仿宋_GB2312" w:cs="宋体"/>
          <w:color w:val="111111"/>
          <w:kern w:val="0"/>
          <w:sz w:val="32"/>
          <w:szCs w:val="32"/>
        </w:rPr>
        <w:t>坚决杜绝挤占、挪用专项资金，严禁扩大专项资金使用范围或擅自调整专项资金用途。</w:t>
      </w:r>
    </w:p>
    <w:p w:rsidR="00746202" w:rsidRDefault="0020726F">
      <w:pPr>
        <w:spacing w:line="600" w:lineRule="exact"/>
        <w:ind w:firstLine="420"/>
        <w:rPr>
          <w:rFonts w:ascii="楷体_GB2312" w:eastAsia="楷体_GB2312"/>
          <w:b/>
          <w:sz w:val="32"/>
          <w:szCs w:val="32"/>
        </w:rPr>
      </w:pPr>
      <w:r>
        <w:rPr>
          <w:rFonts w:ascii="楷体_GB2312" w:eastAsia="楷体_GB2312" w:hint="eastAsia"/>
          <w:b/>
          <w:sz w:val="32"/>
          <w:szCs w:val="32"/>
        </w:rPr>
        <w:t>（二）项目绩效指标完成情况分析</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lastRenderedPageBreak/>
        <w:t>1.</w:t>
      </w:r>
      <w:r>
        <w:rPr>
          <w:rFonts w:ascii="仿宋_GB2312" w:eastAsia="仿宋_GB2312" w:hint="eastAsia"/>
          <w:b/>
          <w:sz w:val="32"/>
          <w:szCs w:val="32"/>
        </w:rPr>
        <w:t>产出指标完成情况分析</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）项目完成数量。</w:t>
      </w:r>
    </w:p>
    <w:p w:rsidR="00746202" w:rsidRDefault="0020726F">
      <w:pPr>
        <w:pStyle w:val="1"/>
        <w:numPr>
          <w:ilvl w:val="0"/>
          <w:numId w:val="1"/>
        </w:numPr>
        <w:spacing w:line="600" w:lineRule="exact"/>
        <w:ind w:firstLineChars="0"/>
        <w:rPr>
          <w:rFonts w:ascii="仿宋_GB2312" w:eastAsia="仿宋_GB2312"/>
          <w:sz w:val="32"/>
          <w:szCs w:val="32"/>
        </w:rPr>
      </w:pPr>
      <w:r>
        <w:rPr>
          <w:rFonts w:ascii="仿宋_GB2312" w:eastAsia="仿宋_GB2312" w:hint="eastAsia"/>
          <w:sz w:val="32"/>
          <w:szCs w:val="32"/>
        </w:rPr>
        <w:t>制定完善《福建省安全生产信息化总体建设方案》；</w:t>
      </w:r>
    </w:p>
    <w:p w:rsidR="00746202" w:rsidRDefault="0020726F">
      <w:pPr>
        <w:pStyle w:val="1"/>
        <w:numPr>
          <w:ilvl w:val="0"/>
          <w:numId w:val="1"/>
        </w:numPr>
        <w:spacing w:line="600" w:lineRule="exact"/>
        <w:ind w:firstLineChars="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年启动综合信息平台中的风险分级管控和隐患排查治理双重预防机制的信息化子系统建设</w:t>
      </w:r>
      <w:r>
        <w:rPr>
          <w:rFonts w:ascii="仿宋_GB2312" w:eastAsia="仿宋_GB2312" w:hint="eastAsia"/>
          <w:sz w:val="32"/>
          <w:szCs w:val="32"/>
        </w:rPr>
        <w:t>,</w:t>
      </w:r>
      <w:r>
        <w:rPr>
          <w:rFonts w:ascii="仿宋_GB2312" w:eastAsia="仿宋_GB2312" w:hint="eastAsia"/>
          <w:sz w:val="32"/>
          <w:szCs w:val="32"/>
        </w:rPr>
        <w:t>分行业分领</w:t>
      </w:r>
      <w:r>
        <w:rPr>
          <w:rFonts w:ascii="仿宋_GB2312" w:eastAsia="仿宋_GB2312" w:hint="eastAsia"/>
          <w:sz w:val="32"/>
          <w:szCs w:val="32"/>
        </w:rPr>
        <w:t>域逐步推进建设；</w:t>
      </w:r>
    </w:p>
    <w:p w:rsidR="00746202" w:rsidRDefault="0020726F">
      <w:pPr>
        <w:pStyle w:val="1"/>
        <w:numPr>
          <w:ilvl w:val="0"/>
          <w:numId w:val="1"/>
        </w:numPr>
        <w:spacing w:line="600" w:lineRule="exact"/>
        <w:ind w:firstLineChars="0"/>
        <w:rPr>
          <w:rFonts w:ascii="仿宋_GB2312" w:eastAsia="仿宋_GB2312"/>
          <w:sz w:val="32"/>
          <w:szCs w:val="32"/>
        </w:rPr>
      </w:pPr>
      <w:r>
        <w:rPr>
          <w:rFonts w:ascii="仿宋_GB2312" w:eastAsia="仿宋_GB2312" w:hint="eastAsia"/>
          <w:sz w:val="32"/>
          <w:szCs w:val="32"/>
        </w:rPr>
        <w:t>高危行业（危险化学品）企业风险预警与防控工程试点项目开展建设，一是上杭县</w:t>
      </w:r>
      <w:proofErr w:type="gramStart"/>
      <w:r>
        <w:rPr>
          <w:rFonts w:ascii="仿宋_GB2312" w:eastAsia="仿宋_GB2312" w:hint="eastAsia"/>
          <w:sz w:val="32"/>
          <w:szCs w:val="32"/>
        </w:rPr>
        <w:t>蛟</w:t>
      </w:r>
      <w:proofErr w:type="gramEnd"/>
      <w:r>
        <w:rPr>
          <w:rFonts w:ascii="仿宋_GB2312" w:eastAsia="仿宋_GB2312" w:hint="eastAsia"/>
          <w:sz w:val="32"/>
          <w:szCs w:val="32"/>
        </w:rPr>
        <w:t>洋化工</w:t>
      </w:r>
      <w:proofErr w:type="gramStart"/>
      <w:r>
        <w:rPr>
          <w:rFonts w:ascii="仿宋_GB2312" w:eastAsia="仿宋_GB2312" w:hint="eastAsia"/>
          <w:sz w:val="32"/>
          <w:szCs w:val="32"/>
        </w:rPr>
        <w:t>园区试点</w:t>
      </w:r>
      <w:proofErr w:type="gramEnd"/>
      <w:r>
        <w:rPr>
          <w:rFonts w:ascii="仿宋_GB2312" w:eastAsia="仿宋_GB2312" w:hint="eastAsia"/>
          <w:sz w:val="32"/>
          <w:szCs w:val="32"/>
        </w:rPr>
        <w:t>正在建设：园区建设</w:t>
      </w:r>
      <w:r>
        <w:rPr>
          <w:rFonts w:ascii="仿宋_GB2312" w:eastAsia="仿宋_GB2312" w:hint="eastAsia"/>
          <w:sz w:val="32"/>
          <w:szCs w:val="32"/>
        </w:rPr>
        <w:t>1</w:t>
      </w:r>
      <w:r>
        <w:rPr>
          <w:rFonts w:ascii="仿宋_GB2312" w:eastAsia="仿宋_GB2312" w:hint="eastAsia"/>
          <w:sz w:val="32"/>
          <w:szCs w:val="32"/>
        </w:rPr>
        <w:t>套高危行业（危险化学品）企业安全生产风险预警与防控系统。二是省局平台建设，项目已于</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月完成招投标工作，确定建设单位和建设任务。现已经基本按照建设方案完成省局平台建设。</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）项目完成质量。</w:t>
      </w:r>
    </w:p>
    <w:p w:rsidR="00746202" w:rsidRDefault="0020726F">
      <w:pPr>
        <w:pStyle w:val="1"/>
        <w:numPr>
          <w:ilvl w:val="0"/>
          <w:numId w:val="2"/>
        </w:numPr>
        <w:spacing w:line="600" w:lineRule="exact"/>
        <w:ind w:firstLineChars="0"/>
        <w:rPr>
          <w:rFonts w:ascii="仿宋_GB2312" w:eastAsia="仿宋_GB2312"/>
          <w:sz w:val="32"/>
          <w:szCs w:val="32"/>
        </w:rPr>
      </w:pPr>
      <w:r>
        <w:rPr>
          <w:rFonts w:ascii="仿宋_GB2312" w:eastAsia="仿宋_GB2312" w:hint="eastAsia"/>
          <w:sz w:val="32"/>
          <w:szCs w:val="32"/>
        </w:rPr>
        <w:t>福建省安全生产信息化总体建设方案</w:t>
      </w:r>
      <w:proofErr w:type="gramStart"/>
      <w:r>
        <w:rPr>
          <w:rFonts w:ascii="仿宋_GB2312" w:eastAsia="仿宋_GB2312" w:hint="eastAsia"/>
          <w:sz w:val="32"/>
          <w:szCs w:val="32"/>
        </w:rPr>
        <w:t>》</w:t>
      </w:r>
      <w:proofErr w:type="gramEnd"/>
      <w:r>
        <w:rPr>
          <w:rFonts w:ascii="仿宋_GB2312" w:eastAsia="仿宋_GB2312" w:hint="eastAsia"/>
          <w:sz w:val="32"/>
          <w:szCs w:val="32"/>
        </w:rPr>
        <w:t>完成专家评审，对全省安全生产信息化总体设计进行统筹规范、对建设进度、实施主体、数据标准体系、基础设施设计进行规范。</w:t>
      </w:r>
    </w:p>
    <w:p w:rsidR="00746202" w:rsidRDefault="0020726F">
      <w:pPr>
        <w:pStyle w:val="1"/>
        <w:numPr>
          <w:ilvl w:val="0"/>
          <w:numId w:val="2"/>
        </w:numPr>
        <w:spacing w:line="600" w:lineRule="exact"/>
        <w:ind w:firstLineChars="0"/>
        <w:rPr>
          <w:rFonts w:ascii="仿宋_GB2312" w:eastAsia="仿宋_GB2312"/>
          <w:sz w:val="32"/>
          <w:szCs w:val="32"/>
        </w:rPr>
      </w:pPr>
      <w:r>
        <w:rPr>
          <w:rFonts w:ascii="仿宋_GB2312" w:eastAsia="仿宋_GB2312" w:hint="eastAsia"/>
          <w:sz w:val="32"/>
          <w:szCs w:val="32"/>
        </w:rPr>
        <w:t>综合信息平台建设正在对全省高位行业领域分阶段分行业逐步推进双重预防机制，完成九大治理工程实施方案、课题研究编写大纲初稿编制，正在梳理风险点风险源，制定管控措施，制定事故应急救援方法等，为项目建设提供理论支撑，逐步实现企业安全生产风</w:t>
      </w:r>
      <w:r>
        <w:rPr>
          <w:rFonts w:ascii="仿宋_GB2312" w:eastAsia="仿宋_GB2312" w:hint="eastAsia"/>
          <w:sz w:val="32"/>
          <w:szCs w:val="32"/>
        </w:rPr>
        <w:lastRenderedPageBreak/>
        <w:t>险分级管控和隐患排查自查自报自改。</w:t>
      </w:r>
    </w:p>
    <w:p w:rsidR="00746202" w:rsidRDefault="0020726F">
      <w:pPr>
        <w:pStyle w:val="1"/>
        <w:numPr>
          <w:ilvl w:val="0"/>
          <w:numId w:val="2"/>
        </w:numPr>
        <w:spacing w:line="600" w:lineRule="exact"/>
        <w:ind w:firstLineChars="0"/>
        <w:rPr>
          <w:rFonts w:ascii="仿宋_GB2312" w:eastAsia="仿宋_GB2312"/>
          <w:sz w:val="32"/>
          <w:szCs w:val="32"/>
        </w:rPr>
      </w:pPr>
      <w:r>
        <w:rPr>
          <w:rFonts w:ascii="仿宋_GB2312" w:eastAsia="仿宋_GB2312" w:hint="eastAsia"/>
          <w:sz w:val="32"/>
          <w:szCs w:val="32"/>
        </w:rPr>
        <w:t>高危行业（危险化学品）企业风险预警与防控工程试点项目开展建设，一是上杭县</w:t>
      </w:r>
      <w:proofErr w:type="gramStart"/>
      <w:r>
        <w:rPr>
          <w:rFonts w:ascii="仿宋_GB2312" w:eastAsia="仿宋_GB2312" w:hint="eastAsia"/>
          <w:sz w:val="32"/>
          <w:szCs w:val="32"/>
        </w:rPr>
        <w:t>蛟</w:t>
      </w:r>
      <w:proofErr w:type="gramEnd"/>
      <w:r>
        <w:rPr>
          <w:rFonts w:ascii="仿宋_GB2312" w:eastAsia="仿宋_GB2312" w:hint="eastAsia"/>
          <w:sz w:val="32"/>
          <w:szCs w:val="32"/>
        </w:rPr>
        <w:t>洋化工</w:t>
      </w:r>
      <w:proofErr w:type="gramStart"/>
      <w:r>
        <w:rPr>
          <w:rFonts w:ascii="仿宋_GB2312" w:eastAsia="仿宋_GB2312" w:hint="eastAsia"/>
          <w:sz w:val="32"/>
          <w:szCs w:val="32"/>
        </w:rPr>
        <w:t>园区试点</w:t>
      </w:r>
      <w:proofErr w:type="gramEnd"/>
      <w:r>
        <w:rPr>
          <w:rFonts w:ascii="仿宋_GB2312" w:eastAsia="仿宋_GB2312" w:hint="eastAsia"/>
          <w:sz w:val="32"/>
          <w:szCs w:val="32"/>
        </w:rPr>
        <w:t>正在高危行业（危险化学品）企业安全生产风险预警与防控系统，实现试点的</w:t>
      </w:r>
      <w:r>
        <w:rPr>
          <w:rFonts w:ascii="仿宋_GB2312" w:eastAsia="仿宋_GB2312" w:hint="eastAsia"/>
          <w:sz w:val="32"/>
          <w:szCs w:val="32"/>
        </w:rPr>
        <w:t>5</w:t>
      </w:r>
      <w:r>
        <w:rPr>
          <w:rFonts w:ascii="仿宋_GB2312" w:eastAsia="仿宋_GB2312" w:hint="eastAsia"/>
          <w:sz w:val="32"/>
          <w:szCs w:val="32"/>
        </w:rPr>
        <w:t>家企业的企业端监控数据采集、传输对接。二是省局平台建设现已经基本按照建设方案完成省局平台</w:t>
      </w:r>
      <w:r>
        <w:rPr>
          <w:rFonts w:ascii="仿宋_GB2312" w:eastAsia="仿宋_GB2312" w:hint="eastAsia"/>
          <w:sz w:val="32"/>
          <w:szCs w:val="32"/>
        </w:rPr>
        <w:t>建设，等待两个</w:t>
      </w:r>
      <w:proofErr w:type="gramStart"/>
      <w:r>
        <w:rPr>
          <w:rFonts w:ascii="仿宋_GB2312" w:eastAsia="仿宋_GB2312" w:hint="eastAsia"/>
          <w:sz w:val="32"/>
          <w:szCs w:val="32"/>
        </w:rPr>
        <w:t>园区试点</w:t>
      </w:r>
      <w:proofErr w:type="gramEnd"/>
      <w:r>
        <w:rPr>
          <w:rFonts w:ascii="仿宋_GB2312" w:eastAsia="仿宋_GB2312" w:hint="eastAsia"/>
          <w:sz w:val="32"/>
          <w:szCs w:val="32"/>
        </w:rPr>
        <w:t>建设任务完成后实现试点的</w:t>
      </w:r>
      <w:r>
        <w:rPr>
          <w:rFonts w:ascii="仿宋_GB2312" w:eastAsia="仿宋_GB2312" w:hint="eastAsia"/>
          <w:sz w:val="32"/>
          <w:szCs w:val="32"/>
        </w:rPr>
        <w:t>10</w:t>
      </w:r>
      <w:r>
        <w:rPr>
          <w:rFonts w:ascii="仿宋_GB2312" w:eastAsia="仿宋_GB2312" w:hint="eastAsia"/>
          <w:sz w:val="32"/>
          <w:szCs w:val="32"/>
        </w:rPr>
        <w:t>家企业的企业端监控数据采集、传输和接入并实现和国家联网数据对接。</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3</w:t>
      </w:r>
      <w:r>
        <w:rPr>
          <w:rFonts w:ascii="仿宋_GB2312" w:eastAsia="仿宋_GB2312" w:hint="eastAsia"/>
          <w:b/>
          <w:sz w:val="32"/>
          <w:szCs w:val="32"/>
        </w:rPr>
        <w:t>）项目实施进度。</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年制定完善《福建省安全生产信息化总体建设方案》并对各设区市安全生产信息化总体设计进行统筹规范。</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安全生产综合信息平台：</w:t>
      </w:r>
      <w:r>
        <w:rPr>
          <w:rFonts w:ascii="仿宋_GB2312" w:eastAsia="仿宋_GB2312" w:hint="eastAsia"/>
          <w:sz w:val="32"/>
          <w:szCs w:val="32"/>
        </w:rPr>
        <w:t>2017</w:t>
      </w:r>
      <w:r>
        <w:rPr>
          <w:rFonts w:ascii="仿宋_GB2312" w:eastAsia="仿宋_GB2312" w:hint="eastAsia"/>
          <w:sz w:val="32"/>
          <w:szCs w:val="32"/>
        </w:rPr>
        <w:t>年启动综合信息平台中的风险分级管控和隐患排查治理双重预防机制的信息化子系统建设，以及开展省级安全生产综合信息平台前期调研工作。</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安全生产“一张网”安监云：</w:t>
      </w:r>
      <w:r>
        <w:rPr>
          <w:rFonts w:ascii="仿宋_GB2312" w:eastAsia="仿宋_GB2312" w:hint="eastAsia"/>
          <w:sz w:val="32"/>
          <w:szCs w:val="32"/>
        </w:rPr>
        <w:t>2017</w:t>
      </w:r>
      <w:r>
        <w:rPr>
          <w:rFonts w:ascii="仿宋_GB2312" w:eastAsia="仿宋_GB2312" w:hint="eastAsia"/>
          <w:sz w:val="32"/>
          <w:szCs w:val="32"/>
        </w:rPr>
        <w:t>年开展福建省现有安全生产“一张网”基础设施情况摸底调研。</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高危行业（危险化学品）企业风险预警与防控工程试点项目：</w:t>
      </w:r>
      <w:r>
        <w:rPr>
          <w:rFonts w:ascii="仿宋_GB2312" w:eastAsia="仿宋_GB2312" w:hint="eastAsia"/>
          <w:sz w:val="32"/>
          <w:szCs w:val="32"/>
        </w:rPr>
        <w:t>2017</w:t>
      </w:r>
      <w:r>
        <w:rPr>
          <w:rFonts w:ascii="仿宋_GB2312" w:eastAsia="仿宋_GB2312" w:hint="eastAsia"/>
          <w:sz w:val="32"/>
          <w:szCs w:val="32"/>
        </w:rPr>
        <w:t>年启动一期项目试点建设。</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安全生产应急救援指挥系统：</w:t>
      </w:r>
      <w:r>
        <w:rPr>
          <w:rFonts w:ascii="仿宋_GB2312" w:eastAsia="仿宋_GB2312" w:hint="eastAsia"/>
          <w:sz w:val="32"/>
          <w:szCs w:val="32"/>
        </w:rPr>
        <w:t>2017</w:t>
      </w:r>
      <w:r>
        <w:rPr>
          <w:rFonts w:ascii="仿宋_GB2312" w:eastAsia="仿宋_GB2312" w:hint="eastAsia"/>
          <w:sz w:val="32"/>
          <w:szCs w:val="32"/>
        </w:rPr>
        <w:t>年启动项目前期工作，对福建省已建并投用的应急救援指挥基础平台开展摸底调研工作。</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lastRenderedPageBreak/>
        <w:t>（</w:t>
      </w:r>
      <w:r>
        <w:rPr>
          <w:rFonts w:ascii="仿宋_GB2312" w:eastAsia="仿宋_GB2312" w:hint="eastAsia"/>
          <w:b/>
          <w:sz w:val="32"/>
          <w:szCs w:val="32"/>
        </w:rPr>
        <w:t>4</w:t>
      </w:r>
      <w:r>
        <w:rPr>
          <w:rFonts w:ascii="仿宋_GB2312" w:eastAsia="仿宋_GB2312" w:hint="eastAsia"/>
          <w:b/>
          <w:sz w:val="32"/>
          <w:szCs w:val="32"/>
        </w:rPr>
        <w:t>）项目成本节约情况。</w:t>
      </w:r>
    </w:p>
    <w:p w:rsidR="00746202" w:rsidRDefault="0020726F">
      <w:pPr>
        <w:spacing w:line="600" w:lineRule="exact"/>
        <w:ind w:firstLine="420"/>
        <w:rPr>
          <w:rFonts w:ascii="仿宋_GB2312" w:eastAsia="仿宋_GB2312"/>
          <w:sz w:val="32"/>
          <w:szCs w:val="32"/>
          <w:lang w:val="zh-CN"/>
        </w:rPr>
      </w:pPr>
      <w:r>
        <w:rPr>
          <w:rFonts w:ascii="仿宋_GB2312" w:eastAsia="仿宋_GB2312" w:hint="eastAsia"/>
          <w:sz w:val="32"/>
          <w:szCs w:val="32"/>
          <w:lang w:val="zh-CN"/>
        </w:rPr>
        <w:t>在保证满足工程质量、工期等合同要求的前提下，对项目实施过程中所发生的费用，主要通过技术（如施工方案的制定比选）、经济（如核算）和管理（如组织管理、各项规章制度等）活动实现预定目标，尽可能地降低成本费用。</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2.</w:t>
      </w:r>
      <w:r>
        <w:rPr>
          <w:rFonts w:ascii="仿宋_GB2312" w:eastAsia="仿宋_GB2312" w:hint="eastAsia"/>
          <w:b/>
          <w:sz w:val="32"/>
          <w:szCs w:val="32"/>
        </w:rPr>
        <w:t>效益指标完成情况分析。</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1</w:t>
      </w:r>
      <w:r>
        <w:rPr>
          <w:rFonts w:ascii="仿宋_GB2312" w:eastAsia="仿宋_GB2312" w:hint="eastAsia"/>
          <w:b/>
          <w:sz w:val="32"/>
          <w:szCs w:val="32"/>
        </w:rPr>
        <w:t>）项目实施的经济效益分析。</w:t>
      </w:r>
    </w:p>
    <w:p w:rsidR="00746202" w:rsidRDefault="0020726F">
      <w:pPr>
        <w:spacing w:line="600" w:lineRule="exact"/>
        <w:ind w:firstLine="420"/>
        <w:rPr>
          <w:rFonts w:ascii="仿宋_GB2312" w:eastAsia="仿宋_GB2312"/>
          <w:sz w:val="32"/>
          <w:szCs w:val="32"/>
          <w:lang w:val="zh-CN"/>
        </w:rPr>
      </w:pPr>
      <w:r>
        <w:rPr>
          <w:rFonts w:ascii="仿宋_GB2312" w:eastAsia="仿宋_GB2312" w:hint="eastAsia"/>
          <w:sz w:val="32"/>
          <w:szCs w:val="32"/>
          <w:lang w:val="zh-CN"/>
        </w:rPr>
        <w:t>通过项目的建设，推进</w:t>
      </w:r>
      <w:r>
        <w:rPr>
          <w:rFonts w:ascii="仿宋_GB2312" w:eastAsia="仿宋_GB2312" w:hint="eastAsia"/>
          <w:sz w:val="32"/>
          <w:szCs w:val="32"/>
          <w:lang w:val="zh-CN"/>
        </w:rPr>
        <w:t>各级安全生产监管部门对安全生产信息的共享共用，提升重大危险源管理和生产安全事故的预防预警、监管监察和事故处置能力。在煤矿、非煤矿山、危险化学品、烟花爆竹、工贸等重点行业领域，充分利用企业安全生产的实时监测信息，完善和建设安全生产监管信息系统。在现有成功经验的基础上进行本项目的建设，有力提高安全生产监管监察水平，是超前的预防性投入，项目建成后将产生巨大的经济效益。</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2</w:t>
      </w:r>
      <w:r>
        <w:rPr>
          <w:rFonts w:ascii="仿宋_GB2312" w:eastAsia="仿宋_GB2312" w:hint="eastAsia"/>
          <w:b/>
          <w:sz w:val="32"/>
          <w:szCs w:val="32"/>
        </w:rPr>
        <w:t>）项目实施的社会效益分析。</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通过项目建设实现监管工作过程可监控、全程可追溯、公众可监督，实现综合、动态、事前、事中、事后相结合，推进煤矿监察、</w:t>
      </w:r>
      <w:r>
        <w:rPr>
          <w:rFonts w:ascii="仿宋_GB2312" w:eastAsia="仿宋_GB2312" w:hint="eastAsia"/>
          <w:sz w:val="32"/>
          <w:szCs w:val="32"/>
        </w:rPr>
        <w:t>行业监管、综合监管和基础性管理等各项工作有效衔接，形成一个全方位、多层次、规范化信息化监管模式，增加安全监管的深度和力度，为实现与共建单位多部门联合监管打下基础，促进新型监管机制和监管模式的建立，实现科学监管，提高与共建部门之间的信息共享和业务协同</w:t>
      </w:r>
      <w:r>
        <w:rPr>
          <w:rFonts w:ascii="仿宋_GB2312" w:eastAsia="仿宋_GB2312" w:hint="eastAsia"/>
          <w:sz w:val="32"/>
          <w:szCs w:val="32"/>
        </w:rPr>
        <w:lastRenderedPageBreak/>
        <w:t>能力。加快转变工作作风，规范执法行为，强化公共服务信息公开，有利于规范行政执法行为，统一执法标准，增强办事透明度，提升公共服务能力。</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3</w:t>
      </w:r>
      <w:r>
        <w:rPr>
          <w:rFonts w:ascii="仿宋_GB2312" w:eastAsia="仿宋_GB2312" w:hint="eastAsia"/>
          <w:b/>
          <w:sz w:val="32"/>
          <w:szCs w:val="32"/>
        </w:rPr>
        <w:t>）项目实施的生态效益分析。</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本项目主要开展信息化建设，属于无污染工程，建设运行过程中不产生有害废气、废水、废渣等物质，不会污染</w:t>
      </w:r>
      <w:r>
        <w:rPr>
          <w:rFonts w:ascii="仿宋_GB2312" w:eastAsia="仿宋_GB2312" w:hint="eastAsia"/>
          <w:sz w:val="32"/>
          <w:szCs w:val="32"/>
        </w:rPr>
        <w:t>环境，不会对生态环境产生影响。</w:t>
      </w:r>
    </w:p>
    <w:p w:rsidR="00746202" w:rsidRDefault="0020726F">
      <w:pPr>
        <w:spacing w:line="600" w:lineRule="exact"/>
        <w:ind w:firstLine="420"/>
        <w:rPr>
          <w:rFonts w:ascii="仿宋_GB2312" w:eastAsia="仿宋_GB2312"/>
          <w:b/>
          <w:sz w:val="32"/>
          <w:szCs w:val="32"/>
        </w:rPr>
      </w:pPr>
      <w:r>
        <w:rPr>
          <w:rFonts w:ascii="仿宋_GB2312" w:eastAsia="仿宋_GB2312" w:hint="eastAsia"/>
          <w:b/>
          <w:sz w:val="32"/>
          <w:szCs w:val="32"/>
        </w:rPr>
        <w:t>（</w:t>
      </w:r>
      <w:r>
        <w:rPr>
          <w:rFonts w:ascii="仿宋_GB2312" w:eastAsia="仿宋_GB2312" w:hint="eastAsia"/>
          <w:b/>
          <w:sz w:val="32"/>
          <w:szCs w:val="32"/>
        </w:rPr>
        <w:t>4</w:t>
      </w:r>
      <w:r>
        <w:rPr>
          <w:rFonts w:ascii="仿宋_GB2312" w:eastAsia="仿宋_GB2312" w:hint="eastAsia"/>
          <w:b/>
          <w:sz w:val="32"/>
          <w:szCs w:val="32"/>
        </w:rPr>
        <w:t>）项目实施的可持续影响分析。</w:t>
      </w:r>
    </w:p>
    <w:p w:rsidR="00746202" w:rsidRDefault="0020726F">
      <w:pPr>
        <w:spacing w:line="600" w:lineRule="exact"/>
        <w:ind w:firstLine="420"/>
        <w:rPr>
          <w:rFonts w:ascii="仿宋_GB2312" w:eastAsia="仿宋_GB2312"/>
          <w:b/>
          <w:sz w:val="32"/>
          <w:szCs w:val="32"/>
        </w:rPr>
      </w:pPr>
      <w:r>
        <w:rPr>
          <w:rFonts w:ascii="仿宋_GB2312" w:eastAsia="仿宋_GB2312" w:hint="eastAsia"/>
          <w:sz w:val="32"/>
          <w:szCs w:val="32"/>
        </w:rPr>
        <w:t>本项目主要开展信息化建设，围绕已有的系统、网络、基础环境等开展建设，尽量做到最大</w:t>
      </w:r>
      <w:proofErr w:type="gramStart"/>
      <w:r>
        <w:rPr>
          <w:rFonts w:ascii="仿宋_GB2312" w:eastAsia="仿宋_GB2312" w:hint="eastAsia"/>
          <w:sz w:val="32"/>
          <w:szCs w:val="32"/>
        </w:rPr>
        <w:t>程度利旧和</w:t>
      </w:r>
      <w:proofErr w:type="gramEnd"/>
      <w:r>
        <w:rPr>
          <w:rFonts w:ascii="仿宋_GB2312" w:eastAsia="仿宋_GB2312" w:hint="eastAsia"/>
          <w:sz w:val="32"/>
          <w:szCs w:val="32"/>
        </w:rPr>
        <w:t>升级改造，做到可持续发展，避免重复建设。</w:t>
      </w:r>
    </w:p>
    <w:p w:rsidR="00746202" w:rsidRDefault="0020726F" w:rsidP="00FE3454">
      <w:pPr>
        <w:spacing w:line="600" w:lineRule="exact"/>
        <w:ind w:firstLineChars="200" w:firstLine="643"/>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满意度指标完成情况分析。</w:t>
      </w: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项目未完成建设，</w:t>
      </w:r>
      <w:proofErr w:type="gramStart"/>
      <w:r>
        <w:rPr>
          <w:rFonts w:ascii="仿宋_GB2312" w:eastAsia="仿宋_GB2312" w:hint="eastAsia"/>
          <w:sz w:val="32"/>
          <w:szCs w:val="32"/>
        </w:rPr>
        <w:t>满意度暂未能</w:t>
      </w:r>
      <w:proofErr w:type="gramEnd"/>
      <w:r>
        <w:rPr>
          <w:rFonts w:ascii="仿宋_GB2312" w:eastAsia="仿宋_GB2312" w:hint="eastAsia"/>
          <w:sz w:val="32"/>
          <w:szCs w:val="32"/>
        </w:rPr>
        <w:t>给出。</w:t>
      </w: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t>五、绩效目标未完成原因和下一步改进措施</w:t>
      </w:r>
    </w:p>
    <w:p w:rsidR="00746202" w:rsidRDefault="0020726F">
      <w:pPr>
        <w:tabs>
          <w:tab w:val="left" w:pos="3014"/>
        </w:tabs>
        <w:spacing w:line="600" w:lineRule="exact"/>
        <w:ind w:firstLineChars="200" w:firstLine="640"/>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年启动综合信息平台中的风险分级管控和隐患排查治理双重预防机制的信息化子系统建设</w:t>
      </w:r>
      <w:r>
        <w:rPr>
          <w:rFonts w:ascii="仿宋_GB2312" w:eastAsia="仿宋_GB2312" w:hint="eastAsia"/>
          <w:sz w:val="32"/>
          <w:szCs w:val="32"/>
        </w:rPr>
        <w:t>,</w:t>
      </w:r>
      <w:r>
        <w:rPr>
          <w:rFonts w:ascii="仿宋_GB2312" w:eastAsia="仿宋_GB2312" w:hint="eastAsia"/>
          <w:sz w:val="32"/>
          <w:szCs w:val="32"/>
        </w:rPr>
        <w:t>分行业分领域逐步推进建设未完成。</w:t>
      </w:r>
    </w:p>
    <w:p w:rsidR="00746202" w:rsidRDefault="0020726F">
      <w:pPr>
        <w:tabs>
          <w:tab w:val="left" w:pos="3014"/>
        </w:tabs>
        <w:spacing w:line="600" w:lineRule="exact"/>
        <w:ind w:firstLineChars="200" w:firstLine="640"/>
        <w:rPr>
          <w:rFonts w:ascii="仿宋_GB2312" w:eastAsia="仿宋_GB2312"/>
          <w:sz w:val="32"/>
          <w:szCs w:val="32"/>
        </w:rPr>
      </w:pPr>
      <w:r>
        <w:rPr>
          <w:rFonts w:ascii="仿宋_GB2312" w:eastAsia="仿宋_GB2312" w:hint="eastAsia"/>
          <w:sz w:val="32"/>
          <w:szCs w:val="32"/>
        </w:rPr>
        <w:t>原因：涉及行业种类多、企业数量大，调研等前期工作耗时长。</w:t>
      </w:r>
    </w:p>
    <w:p w:rsidR="00746202" w:rsidRDefault="0020726F">
      <w:pPr>
        <w:tabs>
          <w:tab w:val="left" w:pos="3014"/>
        </w:tabs>
        <w:spacing w:line="600" w:lineRule="exact"/>
        <w:ind w:firstLineChars="200" w:firstLine="640"/>
        <w:rPr>
          <w:rFonts w:ascii="黑体" w:eastAsia="黑体"/>
          <w:sz w:val="32"/>
          <w:szCs w:val="32"/>
        </w:rPr>
      </w:pPr>
      <w:r>
        <w:rPr>
          <w:rFonts w:ascii="仿宋_GB2312" w:eastAsia="仿宋_GB2312" w:hint="eastAsia"/>
          <w:sz w:val="32"/>
          <w:szCs w:val="32"/>
        </w:rPr>
        <w:t>下一步改进措施：加大人力投入</w:t>
      </w:r>
      <w:r>
        <w:rPr>
          <w:rFonts w:ascii="仿宋_GB2312" w:eastAsia="仿宋_GB2312" w:hint="eastAsia"/>
          <w:sz w:val="32"/>
          <w:szCs w:val="32"/>
        </w:rPr>
        <w:t>，弥补项目进度不足。</w:t>
      </w: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t>六、绩效自评结果拟应用和公开情况</w:t>
      </w:r>
    </w:p>
    <w:p w:rsidR="00746202" w:rsidRDefault="0020726F">
      <w:pPr>
        <w:spacing w:line="600" w:lineRule="exact"/>
        <w:ind w:left="220" w:firstLine="420"/>
        <w:rPr>
          <w:rFonts w:ascii="仿宋_GB2312" w:eastAsia="仿宋_GB2312"/>
          <w:sz w:val="32"/>
          <w:szCs w:val="32"/>
        </w:rPr>
      </w:pPr>
      <w:r>
        <w:rPr>
          <w:rFonts w:ascii="仿宋_GB2312" w:eastAsia="仿宋_GB2312" w:hint="eastAsia"/>
          <w:sz w:val="32"/>
          <w:szCs w:val="32"/>
        </w:rPr>
        <w:t>自评结果作为督促项目建设实施单位加快工程进度依据。自评结果视情况给与公开。</w:t>
      </w: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lastRenderedPageBreak/>
        <w:t>七、绩效自评工作的经验、问题和建议</w:t>
      </w:r>
    </w:p>
    <w:p w:rsidR="00746202" w:rsidRDefault="0020726F">
      <w:pPr>
        <w:spacing w:line="600" w:lineRule="exact"/>
        <w:ind w:firstLineChars="200" w:firstLine="640"/>
        <w:rPr>
          <w:rFonts w:ascii="仿宋_GB2312" w:eastAsia="仿宋_GB2312"/>
          <w:sz w:val="32"/>
          <w:szCs w:val="32"/>
        </w:rPr>
      </w:pPr>
      <w:r>
        <w:rPr>
          <w:rFonts w:ascii="仿宋_GB2312" w:eastAsia="仿宋_GB2312" w:hint="eastAsia"/>
          <w:sz w:val="32"/>
          <w:szCs w:val="32"/>
        </w:rPr>
        <w:t>为保证自评工作有序高效开展，建议建立自评工作小组，由专人负责、各项</w:t>
      </w:r>
      <w:proofErr w:type="gramStart"/>
      <w:r>
        <w:rPr>
          <w:rFonts w:ascii="仿宋_GB2312" w:eastAsia="仿宋_GB2312" w:hint="eastAsia"/>
          <w:sz w:val="32"/>
          <w:szCs w:val="32"/>
        </w:rPr>
        <w:t>目实施</w:t>
      </w:r>
      <w:proofErr w:type="gramEnd"/>
      <w:r>
        <w:rPr>
          <w:rFonts w:ascii="仿宋_GB2312" w:eastAsia="仿宋_GB2312" w:hint="eastAsia"/>
          <w:sz w:val="32"/>
          <w:szCs w:val="32"/>
        </w:rPr>
        <w:t>负责人参与，逐级开展、集中汇总</w:t>
      </w: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t>八、其他需说明的问题。</w:t>
      </w:r>
    </w:p>
    <w:p w:rsidR="00746202" w:rsidRDefault="0020726F">
      <w:pPr>
        <w:spacing w:line="600" w:lineRule="exact"/>
        <w:ind w:firstLineChars="200" w:firstLine="640"/>
        <w:rPr>
          <w:rFonts w:ascii="黑体" w:eastAsia="黑体"/>
          <w:sz w:val="32"/>
          <w:szCs w:val="32"/>
        </w:rPr>
      </w:pPr>
      <w:r>
        <w:rPr>
          <w:rFonts w:ascii="黑体" w:eastAsia="黑体" w:hint="eastAsia"/>
          <w:sz w:val="32"/>
          <w:szCs w:val="32"/>
        </w:rPr>
        <w:t>无</w:t>
      </w:r>
    </w:p>
    <w:p w:rsidR="00746202" w:rsidRDefault="00746202">
      <w:pPr>
        <w:spacing w:line="600" w:lineRule="exact"/>
        <w:ind w:firstLine="420"/>
        <w:rPr>
          <w:rFonts w:ascii="仿宋_GB2312" w:eastAsia="仿宋_GB2312"/>
          <w:sz w:val="32"/>
          <w:szCs w:val="32"/>
        </w:rPr>
      </w:pPr>
    </w:p>
    <w:p w:rsidR="00746202" w:rsidRDefault="0020726F">
      <w:pPr>
        <w:spacing w:line="600" w:lineRule="exact"/>
        <w:ind w:firstLine="420"/>
        <w:rPr>
          <w:rFonts w:ascii="仿宋_GB2312" w:eastAsia="仿宋_GB2312"/>
          <w:sz w:val="32"/>
          <w:szCs w:val="32"/>
        </w:rPr>
      </w:pPr>
      <w:r>
        <w:rPr>
          <w:rFonts w:ascii="仿宋_GB2312" w:eastAsia="仿宋_GB2312" w:hint="eastAsia"/>
          <w:sz w:val="32"/>
          <w:szCs w:val="32"/>
        </w:rPr>
        <w:t>附件：中央对地方专项转移支付区域绩效目标自评表</w:t>
      </w:r>
    </w:p>
    <w:p w:rsidR="00746202" w:rsidRDefault="00746202">
      <w:pPr>
        <w:spacing w:line="600" w:lineRule="exact"/>
        <w:rPr>
          <w:rFonts w:ascii="仿宋_GB2312" w:eastAsia="仿宋_GB2312"/>
          <w:sz w:val="32"/>
          <w:szCs w:val="32"/>
        </w:rPr>
      </w:pPr>
    </w:p>
    <w:p w:rsidR="00746202" w:rsidRDefault="00746202">
      <w:pPr>
        <w:spacing w:line="600" w:lineRule="exact"/>
        <w:ind w:firstLine="420"/>
        <w:rPr>
          <w:rFonts w:ascii="仿宋_GB2312" w:eastAsia="仿宋_GB2312"/>
          <w:sz w:val="32"/>
          <w:szCs w:val="32"/>
        </w:rPr>
      </w:pPr>
    </w:p>
    <w:p w:rsidR="00746202" w:rsidRDefault="00746202">
      <w:pPr>
        <w:spacing w:line="600" w:lineRule="exact"/>
        <w:ind w:firstLine="420"/>
        <w:rPr>
          <w:rFonts w:ascii="仿宋_GB2312" w:eastAsia="仿宋_GB2312"/>
          <w:sz w:val="32"/>
          <w:szCs w:val="32"/>
        </w:rPr>
      </w:pPr>
    </w:p>
    <w:p w:rsidR="00746202" w:rsidRDefault="0020726F">
      <w:pPr>
        <w:spacing w:line="600" w:lineRule="exact"/>
        <w:ind w:firstLineChars="1380" w:firstLine="4416"/>
        <w:rPr>
          <w:rFonts w:ascii="仿宋_GB2312" w:eastAsia="仿宋_GB2312"/>
          <w:sz w:val="32"/>
          <w:szCs w:val="32"/>
        </w:rPr>
      </w:pPr>
      <w:r>
        <w:rPr>
          <w:rFonts w:ascii="仿宋_GB2312" w:eastAsia="仿宋_GB2312"/>
          <w:sz w:val="32"/>
          <w:szCs w:val="32"/>
        </w:rPr>
        <w:t>福建省安全生产监督管理局</w:t>
      </w:r>
    </w:p>
    <w:p w:rsidR="00746202" w:rsidRDefault="0020726F">
      <w:pPr>
        <w:spacing w:line="600" w:lineRule="exact"/>
        <w:ind w:firstLineChars="1650" w:firstLine="5280"/>
        <w:rPr>
          <w:rFonts w:ascii="仿宋_GB2312" w:eastAsia="仿宋_GB2312"/>
          <w:sz w:val="32"/>
          <w:szCs w:val="32"/>
        </w:rPr>
        <w:sectPr w:rsidR="00746202">
          <w:pgSz w:w="11906" w:h="16838"/>
          <w:pgMar w:top="1440" w:right="1800" w:bottom="1440" w:left="1800" w:header="851" w:footer="992" w:gutter="0"/>
          <w:cols w:space="720"/>
          <w:docGrid w:type="lines" w:linePitch="312"/>
        </w:sectPr>
      </w:pPr>
      <w:r>
        <w:rPr>
          <w:rFonts w:ascii="仿宋_GB2312" w:eastAsia="仿宋_GB2312"/>
          <w:sz w:val="32"/>
          <w:szCs w:val="32"/>
        </w:rPr>
        <w:t>2018</w:t>
      </w:r>
      <w:r>
        <w:rPr>
          <w:rFonts w:ascii="仿宋_GB2312" w:eastAsia="仿宋_GB2312"/>
          <w:sz w:val="32"/>
          <w:szCs w:val="32"/>
        </w:rPr>
        <w:t>年</w:t>
      </w:r>
      <w:r>
        <w:rPr>
          <w:rFonts w:ascii="仿宋_GB2312" w:eastAsia="仿宋_GB2312"/>
          <w:sz w:val="32"/>
          <w:szCs w:val="32"/>
        </w:rPr>
        <w:t>4</w:t>
      </w:r>
      <w:r>
        <w:rPr>
          <w:rFonts w:ascii="仿宋_GB2312" w:eastAsia="仿宋_GB2312"/>
          <w:sz w:val="32"/>
          <w:szCs w:val="32"/>
        </w:rPr>
        <w:t>月</w:t>
      </w:r>
      <w:r>
        <w:rPr>
          <w:rFonts w:ascii="仿宋_GB2312" w:eastAsia="仿宋_GB2312"/>
          <w:sz w:val="32"/>
          <w:szCs w:val="32"/>
        </w:rPr>
        <w:t>20</w:t>
      </w:r>
      <w:r>
        <w:rPr>
          <w:rFonts w:ascii="仿宋_GB2312" w:eastAsia="仿宋_GB2312"/>
          <w:sz w:val="32"/>
          <w:szCs w:val="32"/>
        </w:rPr>
        <w:t>日</w:t>
      </w:r>
    </w:p>
    <w:p w:rsidR="00746202" w:rsidRDefault="0020726F">
      <w:pPr>
        <w:spacing w:line="600" w:lineRule="exact"/>
        <w:ind w:firstLine="420"/>
        <w:jc w:val="center"/>
        <w:rPr>
          <w:rFonts w:ascii="宋体" w:cs="宋体"/>
          <w:b/>
          <w:bCs/>
          <w:kern w:val="0"/>
          <w:sz w:val="32"/>
          <w:szCs w:val="32"/>
        </w:rPr>
      </w:pPr>
      <w:r>
        <w:rPr>
          <w:rFonts w:ascii="宋体" w:cs="宋体" w:hint="eastAsia"/>
          <w:b/>
          <w:bCs/>
          <w:kern w:val="0"/>
          <w:sz w:val="32"/>
          <w:szCs w:val="32"/>
        </w:rPr>
        <w:lastRenderedPageBreak/>
        <w:t>中央对地方专项转移支付区域（项目）绩效目标自评表</w:t>
      </w:r>
    </w:p>
    <w:p w:rsidR="00746202" w:rsidRDefault="0020726F">
      <w:pPr>
        <w:spacing w:line="600" w:lineRule="exact"/>
        <w:ind w:firstLine="420"/>
        <w:jc w:val="center"/>
        <w:rPr>
          <w:rFonts w:ascii="仿宋_GB2312" w:eastAsia="仿宋_GB2312"/>
          <w:sz w:val="32"/>
          <w:szCs w:val="32"/>
        </w:rPr>
      </w:pPr>
      <w:r>
        <w:rPr>
          <w:rFonts w:ascii="宋体" w:cs="宋体"/>
          <w:b/>
          <w:bCs/>
          <w:kern w:val="0"/>
          <w:sz w:val="32"/>
          <w:szCs w:val="32"/>
        </w:rPr>
        <w:t>（</w:t>
      </w:r>
      <w:r>
        <w:rPr>
          <w:rFonts w:ascii="宋体" w:cs="宋体"/>
          <w:b/>
          <w:bCs/>
          <w:kern w:val="0"/>
          <w:sz w:val="32"/>
          <w:szCs w:val="32"/>
        </w:rPr>
        <w:t>2017</w:t>
      </w:r>
      <w:r>
        <w:rPr>
          <w:rFonts w:ascii="宋体" w:cs="宋体" w:hint="eastAsia"/>
          <w:b/>
          <w:bCs/>
          <w:kern w:val="0"/>
          <w:sz w:val="32"/>
          <w:szCs w:val="32"/>
        </w:rPr>
        <w:t>年度</w:t>
      </w:r>
      <w:r>
        <w:rPr>
          <w:rFonts w:ascii="宋体" w:cs="宋体"/>
          <w:b/>
          <w:bCs/>
          <w:kern w:val="0"/>
          <w:sz w:val="32"/>
          <w:szCs w:val="32"/>
        </w:rPr>
        <w:t>）</w:t>
      </w:r>
    </w:p>
    <w:tbl>
      <w:tblPr>
        <w:tblW w:w="13948" w:type="dxa"/>
        <w:tblLayout w:type="fixed"/>
        <w:tblLook w:val="0000" w:firstRow="0" w:lastRow="0" w:firstColumn="0" w:lastColumn="0" w:noHBand="0" w:noVBand="0"/>
      </w:tblPr>
      <w:tblGrid>
        <w:gridCol w:w="1134"/>
        <w:gridCol w:w="1135"/>
        <w:gridCol w:w="1096"/>
        <w:gridCol w:w="2271"/>
        <w:gridCol w:w="2271"/>
        <w:gridCol w:w="1855"/>
        <w:gridCol w:w="1756"/>
        <w:gridCol w:w="2430"/>
      </w:tblGrid>
      <w:tr w:rsidR="00746202">
        <w:trPr>
          <w:cantSplit/>
          <w:trHeight w:val="20"/>
        </w:trPr>
        <w:tc>
          <w:tcPr>
            <w:tcW w:w="33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kern w:val="0"/>
                <w:sz w:val="24"/>
                <w:szCs w:val="24"/>
              </w:rPr>
            </w:pPr>
            <w:r>
              <w:rPr>
                <w:rFonts w:ascii="宋体" w:cs="宋体" w:hint="eastAsia"/>
                <w:kern w:val="0"/>
                <w:sz w:val="24"/>
                <w:szCs w:val="24"/>
              </w:rPr>
              <w:t>专项（项目）名称</w:t>
            </w:r>
          </w:p>
        </w:tc>
        <w:tc>
          <w:tcPr>
            <w:tcW w:w="10583" w:type="dxa"/>
            <w:gridSpan w:val="5"/>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kern w:val="0"/>
                <w:sz w:val="24"/>
                <w:szCs w:val="24"/>
              </w:rPr>
            </w:pPr>
            <w:r>
              <w:rPr>
                <w:rFonts w:ascii="宋体" w:cs="宋体" w:hint="eastAsia"/>
                <w:kern w:val="0"/>
                <w:sz w:val="24"/>
                <w:szCs w:val="24"/>
              </w:rPr>
              <w:t>安全生产预防与应急专项资金</w:t>
            </w:r>
          </w:p>
        </w:tc>
      </w:tr>
      <w:tr w:rsidR="00746202">
        <w:trPr>
          <w:cantSplit/>
          <w:trHeight w:val="20"/>
        </w:trPr>
        <w:tc>
          <w:tcPr>
            <w:tcW w:w="3365" w:type="dxa"/>
            <w:gridSpan w:val="3"/>
            <w:tcBorders>
              <w:top w:val="single" w:sz="4" w:space="0" w:color="auto"/>
              <w:left w:val="single" w:sz="4" w:space="0" w:color="auto"/>
              <w:bottom w:val="single" w:sz="4" w:space="0" w:color="auto"/>
              <w:right w:val="nil"/>
            </w:tcBorders>
            <w:shd w:val="clear" w:color="auto" w:fill="auto"/>
            <w:vAlign w:val="center"/>
          </w:tcPr>
          <w:p w:rsidR="00746202" w:rsidRDefault="0020726F">
            <w:pPr>
              <w:widowControl/>
              <w:jc w:val="center"/>
              <w:rPr>
                <w:rFonts w:ascii="宋体" w:cs="宋体"/>
                <w:kern w:val="0"/>
                <w:sz w:val="24"/>
                <w:szCs w:val="24"/>
              </w:rPr>
            </w:pPr>
            <w:r>
              <w:rPr>
                <w:rFonts w:ascii="宋体" w:cs="宋体" w:hint="eastAsia"/>
                <w:kern w:val="0"/>
                <w:sz w:val="24"/>
                <w:szCs w:val="24"/>
              </w:rPr>
              <w:t>中央主管部门</w:t>
            </w:r>
          </w:p>
        </w:tc>
        <w:tc>
          <w:tcPr>
            <w:tcW w:w="10583" w:type="dxa"/>
            <w:gridSpan w:val="5"/>
            <w:tcBorders>
              <w:top w:val="single" w:sz="4" w:space="0" w:color="auto"/>
              <w:left w:val="nil"/>
              <w:bottom w:val="single" w:sz="4" w:space="0" w:color="auto"/>
              <w:right w:val="single" w:sz="4" w:space="0" w:color="000000"/>
            </w:tcBorders>
            <w:shd w:val="clear" w:color="auto" w:fill="auto"/>
            <w:vAlign w:val="center"/>
          </w:tcPr>
          <w:p w:rsidR="00746202" w:rsidRDefault="0020726F">
            <w:pPr>
              <w:widowControl/>
              <w:jc w:val="center"/>
              <w:rPr>
                <w:rFonts w:ascii="宋体" w:cs="宋体"/>
                <w:kern w:val="0"/>
                <w:sz w:val="24"/>
                <w:szCs w:val="24"/>
              </w:rPr>
            </w:pPr>
            <w:r>
              <w:rPr>
                <w:rFonts w:ascii="宋体" w:cs="宋体" w:hint="eastAsia"/>
                <w:kern w:val="0"/>
                <w:sz w:val="24"/>
                <w:szCs w:val="24"/>
              </w:rPr>
              <w:t>国家安全生产监督管理总局</w:t>
            </w:r>
          </w:p>
        </w:tc>
      </w:tr>
      <w:tr w:rsidR="00746202">
        <w:trPr>
          <w:cantSplit/>
          <w:trHeight w:val="20"/>
        </w:trPr>
        <w:tc>
          <w:tcPr>
            <w:tcW w:w="3365" w:type="dxa"/>
            <w:gridSpan w:val="3"/>
            <w:tcBorders>
              <w:top w:val="single" w:sz="4" w:space="0" w:color="auto"/>
              <w:left w:val="single" w:sz="4" w:space="0" w:color="auto"/>
              <w:bottom w:val="single" w:sz="4" w:space="0" w:color="auto"/>
              <w:right w:val="nil"/>
            </w:tcBorders>
            <w:shd w:val="clear" w:color="auto" w:fill="auto"/>
            <w:vAlign w:val="center"/>
          </w:tcPr>
          <w:p w:rsidR="00746202" w:rsidRDefault="0020726F">
            <w:pPr>
              <w:widowControl/>
              <w:jc w:val="center"/>
              <w:rPr>
                <w:rFonts w:ascii="宋体" w:cs="宋体"/>
                <w:kern w:val="0"/>
                <w:sz w:val="24"/>
                <w:szCs w:val="24"/>
              </w:rPr>
            </w:pPr>
            <w:r>
              <w:rPr>
                <w:rFonts w:ascii="宋体" w:cs="宋体" w:hint="eastAsia"/>
                <w:kern w:val="0"/>
                <w:sz w:val="24"/>
                <w:szCs w:val="24"/>
              </w:rPr>
              <w:t>地方主管部门</w:t>
            </w:r>
          </w:p>
        </w:tc>
        <w:tc>
          <w:tcPr>
            <w:tcW w:w="4542" w:type="dxa"/>
            <w:gridSpan w:val="2"/>
            <w:tcBorders>
              <w:top w:val="single" w:sz="4" w:space="0" w:color="auto"/>
              <w:left w:val="nil"/>
              <w:bottom w:val="single" w:sz="4" w:space="0" w:color="auto"/>
              <w:right w:val="single" w:sz="4" w:space="0" w:color="000000"/>
            </w:tcBorders>
            <w:shd w:val="clear" w:color="auto" w:fill="auto"/>
            <w:vAlign w:val="center"/>
          </w:tcPr>
          <w:p w:rsidR="00746202" w:rsidRDefault="0020726F">
            <w:pPr>
              <w:widowControl/>
              <w:jc w:val="center"/>
              <w:rPr>
                <w:rFonts w:ascii="宋体" w:cs="宋体"/>
                <w:kern w:val="0"/>
                <w:sz w:val="24"/>
                <w:szCs w:val="24"/>
              </w:rPr>
            </w:pPr>
            <w:r>
              <w:rPr>
                <w:rFonts w:ascii="宋体" w:cs="宋体" w:hint="eastAsia"/>
                <w:kern w:val="0"/>
                <w:sz w:val="24"/>
                <w:szCs w:val="24"/>
              </w:rPr>
              <w:t>福建省安全生产监督管理局</w:t>
            </w:r>
          </w:p>
        </w:tc>
        <w:tc>
          <w:tcPr>
            <w:tcW w:w="1855" w:type="dxa"/>
            <w:tcBorders>
              <w:top w:val="nil"/>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kern w:val="0"/>
                <w:sz w:val="24"/>
                <w:szCs w:val="24"/>
              </w:rPr>
            </w:pPr>
            <w:r>
              <w:rPr>
                <w:rFonts w:ascii="宋体" w:cs="宋体" w:hint="eastAsia"/>
                <w:kern w:val="0"/>
                <w:sz w:val="24"/>
                <w:szCs w:val="24"/>
              </w:rPr>
              <w:t>实施单位</w:t>
            </w:r>
          </w:p>
        </w:tc>
        <w:tc>
          <w:tcPr>
            <w:tcW w:w="4186" w:type="dxa"/>
            <w:gridSpan w:val="2"/>
            <w:tcBorders>
              <w:top w:val="single" w:sz="4" w:space="0" w:color="auto"/>
              <w:left w:val="nil"/>
              <w:bottom w:val="single" w:sz="4" w:space="0" w:color="auto"/>
              <w:right w:val="single" w:sz="4" w:space="0" w:color="000000"/>
            </w:tcBorders>
            <w:shd w:val="clear" w:color="auto" w:fill="auto"/>
            <w:vAlign w:val="center"/>
          </w:tcPr>
          <w:p w:rsidR="00746202" w:rsidRDefault="0020726F">
            <w:pPr>
              <w:widowControl/>
              <w:jc w:val="center"/>
              <w:rPr>
                <w:rFonts w:ascii="宋体" w:cs="宋体"/>
                <w:kern w:val="0"/>
                <w:sz w:val="24"/>
                <w:szCs w:val="24"/>
              </w:rPr>
            </w:pPr>
            <w:r>
              <w:rPr>
                <w:rFonts w:ascii="宋体" w:cs="宋体" w:hint="eastAsia"/>
                <w:kern w:val="0"/>
                <w:sz w:val="24"/>
                <w:szCs w:val="24"/>
              </w:rPr>
              <w:t>福建省安全生产监督管理局</w:t>
            </w:r>
          </w:p>
        </w:tc>
      </w:tr>
      <w:tr w:rsidR="00746202">
        <w:trPr>
          <w:cantSplit/>
          <w:trHeight w:val="20"/>
        </w:trPr>
        <w:tc>
          <w:tcPr>
            <w:tcW w:w="33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项目资金（万元）</w:t>
            </w:r>
          </w:p>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 xml:space="preserve">　</w:t>
            </w:r>
          </w:p>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全年预算数（</w:t>
            </w:r>
            <w:r>
              <w:rPr>
                <w:rFonts w:ascii="宋体" w:cs="宋体" w:hint="eastAsia"/>
                <w:color w:val="000000"/>
                <w:kern w:val="0"/>
                <w:sz w:val="22"/>
              </w:rPr>
              <w:t>A</w:t>
            </w:r>
            <w:r>
              <w:rPr>
                <w:rFonts w:ascii="宋体" w:cs="宋体" w:hint="eastAsia"/>
                <w:color w:val="000000"/>
                <w:kern w:val="0"/>
                <w:sz w:val="22"/>
              </w:rPr>
              <w:t>）</w:t>
            </w:r>
          </w:p>
        </w:tc>
        <w:tc>
          <w:tcPr>
            <w:tcW w:w="3611" w:type="dxa"/>
            <w:gridSpan w:val="2"/>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全年执行数（</w:t>
            </w:r>
            <w:r>
              <w:rPr>
                <w:rFonts w:ascii="宋体" w:cs="宋体" w:hint="eastAsia"/>
                <w:color w:val="000000"/>
                <w:kern w:val="0"/>
                <w:sz w:val="22"/>
              </w:rPr>
              <w:t>B</w:t>
            </w:r>
            <w:r>
              <w:rPr>
                <w:rFonts w:ascii="宋体" w:cs="宋体" w:hint="eastAsia"/>
                <w:color w:val="000000"/>
                <w:kern w:val="0"/>
                <w:sz w:val="22"/>
              </w:rPr>
              <w:t>）</w:t>
            </w:r>
          </w:p>
        </w:tc>
        <w:tc>
          <w:tcPr>
            <w:tcW w:w="2430" w:type="dxa"/>
            <w:tcBorders>
              <w:top w:val="nil"/>
              <w:left w:val="nil"/>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执行率（</w:t>
            </w:r>
            <w:r>
              <w:rPr>
                <w:rFonts w:ascii="宋体" w:cs="宋体" w:hint="eastAsia"/>
                <w:color w:val="000000"/>
                <w:kern w:val="0"/>
                <w:sz w:val="22"/>
              </w:rPr>
              <w:t>B/A</w:t>
            </w:r>
            <w:r>
              <w:rPr>
                <w:rFonts w:ascii="宋体" w:cs="宋体" w:hint="eastAsia"/>
                <w:color w:val="000000"/>
                <w:kern w:val="0"/>
                <w:sz w:val="22"/>
              </w:rPr>
              <w:t>）</w:t>
            </w:r>
          </w:p>
        </w:tc>
      </w:tr>
      <w:tr w:rsidR="00746202">
        <w:trPr>
          <w:cantSplit/>
          <w:trHeight w:val="20"/>
        </w:trPr>
        <w:tc>
          <w:tcPr>
            <w:tcW w:w="3365" w:type="dxa"/>
            <w:gridSpan w:val="3"/>
            <w:vMerge/>
            <w:tcBorders>
              <w:top w:val="single" w:sz="4" w:space="0" w:color="auto"/>
              <w:left w:val="single" w:sz="4" w:space="0" w:color="auto"/>
              <w:bottom w:val="single" w:sz="4" w:space="0" w:color="auto"/>
              <w:right w:val="single" w:sz="4" w:space="0" w:color="auto"/>
            </w:tcBorders>
            <w:vAlign w:val="center"/>
          </w:tcPr>
          <w:p w:rsidR="00746202" w:rsidRDefault="00746202"/>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年度资金总额</w:t>
            </w:r>
          </w:p>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1938</w:t>
            </w:r>
          </w:p>
        </w:tc>
        <w:tc>
          <w:tcPr>
            <w:tcW w:w="3611" w:type="dxa"/>
            <w:gridSpan w:val="2"/>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190.93</w:t>
            </w:r>
          </w:p>
        </w:tc>
        <w:tc>
          <w:tcPr>
            <w:tcW w:w="2430" w:type="dxa"/>
            <w:tcBorders>
              <w:top w:val="nil"/>
              <w:left w:val="nil"/>
              <w:bottom w:val="single" w:sz="4" w:space="0" w:color="auto"/>
              <w:right w:val="single" w:sz="4" w:space="0" w:color="auto"/>
            </w:tcBorders>
            <w:shd w:val="clear" w:color="auto" w:fill="auto"/>
            <w:vAlign w:val="center"/>
          </w:tcPr>
          <w:p w:rsidR="00746202" w:rsidRDefault="0020726F">
            <w:pPr>
              <w:widowControl/>
              <w:jc w:val="right"/>
              <w:rPr>
                <w:rFonts w:ascii="宋体" w:cs="宋体"/>
                <w:color w:val="000000"/>
                <w:kern w:val="0"/>
                <w:sz w:val="22"/>
              </w:rPr>
            </w:pPr>
            <w:r>
              <w:rPr>
                <w:rFonts w:ascii="宋体" w:cs="宋体"/>
                <w:color w:val="000000"/>
                <w:kern w:val="0"/>
                <w:sz w:val="22"/>
              </w:rPr>
              <w:t>10%</w:t>
            </w:r>
          </w:p>
        </w:tc>
      </w:tr>
      <w:tr w:rsidR="00746202">
        <w:trPr>
          <w:cantSplit/>
          <w:trHeight w:val="20"/>
        </w:trPr>
        <w:tc>
          <w:tcPr>
            <w:tcW w:w="3365" w:type="dxa"/>
            <w:gridSpan w:val="3"/>
            <w:vMerge/>
            <w:tcBorders>
              <w:top w:val="single" w:sz="4" w:space="0" w:color="auto"/>
              <w:left w:val="single" w:sz="4" w:space="0" w:color="auto"/>
              <w:bottom w:val="single" w:sz="4" w:space="0" w:color="auto"/>
              <w:right w:val="single" w:sz="4" w:space="0" w:color="auto"/>
            </w:tcBorders>
            <w:vAlign w:val="center"/>
          </w:tcPr>
          <w:p w:rsidR="00746202" w:rsidRDefault="00746202"/>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其中：中央补助</w:t>
            </w:r>
          </w:p>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1938</w:t>
            </w:r>
          </w:p>
        </w:tc>
        <w:tc>
          <w:tcPr>
            <w:tcW w:w="3611" w:type="dxa"/>
            <w:gridSpan w:val="2"/>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190.93</w:t>
            </w:r>
          </w:p>
        </w:tc>
        <w:tc>
          <w:tcPr>
            <w:tcW w:w="2430" w:type="dxa"/>
            <w:tcBorders>
              <w:top w:val="nil"/>
              <w:left w:val="nil"/>
              <w:bottom w:val="single" w:sz="4" w:space="0" w:color="auto"/>
              <w:right w:val="single" w:sz="4" w:space="0" w:color="auto"/>
            </w:tcBorders>
            <w:shd w:val="clear" w:color="auto" w:fill="auto"/>
            <w:vAlign w:val="center"/>
          </w:tcPr>
          <w:p w:rsidR="00746202" w:rsidRDefault="0020726F">
            <w:pPr>
              <w:widowControl/>
              <w:jc w:val="right"/>
              <w:rPr>
                <w:rFonts w:ascii="宋体" w:cs="宋体"/>
                <w:color w:val="000000"/>
                <w:kern w:val="0"/>
                <w:sz w:val="22"/>
              </w:rPr>
            </w:pPr>
            <w:r>
              <w:rPr>
                <w:rFonts w:ascii="宋体" w:cs="宋体"/>
                <w:color w:val="000000"/>
                <w:kern w:val="0"/>
                <w:sz w:val="22"/>
              </w:rPr>
              <w:t>10%</w:t>
            </w:r>
          </w:p>
        </w:tc>
      </w:tr>
      <w:tr w:rsidR="00746202">
        <w:trPr>
          <w:cantSplit/>
          <w:trHeight w:val="20"/>
        </w:trPr>
        <w:tc>
          <w:tcPr>
            <w:tcW w:w="3365" w:type="dxa"/>
            <w:gridSpan w:val="3"/>
            <w:vMerge/>
            <w:tcBorders>
              <w:top w:val="single" w:sz="4" w:space="0" w:color="auto"/>
              <w:left w:val="single" w:sz="4" w:space="0" w:color="auto"/>
              <w:bottom w:val="single" w:sz="4" w:space="0" w:color="auto"/>
              <w:right w:val="single" w:sz="4" w:space="0" w:color="auto"/>
            </w:tcBorders>
            <w:vAlign w:val="center"/>
          </w:tcPr>
          <w:p w:rsidR="00746202" w:rsidRDefault="00746202"/>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地方资金</w:t>
            </w:r>
          </w:p>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0</w:t>
            </w:r>
          </w:p>
        </w:tc>
        <w:tc>
          <w:tcPr>
            <w:tcW w:w="3611" w:type="dxa"/>
            <w:gridSpan w:val="2"/>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0</w:t>
            </w:r>
          </w:p>
        </w:tc>
        <w:tc>
          <w:tcPr>
            <w:tcW w:w="2430" w:type="dxa"/>
            <w:tcBorders>
              <w:top w:val="nil"/>
              <w:left w:val="nil"/>
              <w:bottom w:val="single" w:sz="4" w:space="0" w:color="auto"/>
              <w:right w:val="single" w:sz="4" w:space="0" w:color="auto"/>
            </w:tcBorders>
            <w:shd w:val="clear" w:color="auto" w:fill="auto"/>
            <w:vAlign w:val="center"/>
          </w:tcPr>
          <w:p w:rsidR="00746202" w:rsidRDefault="0020726F">
            <w:pPr>
              <w:widowControl/>
              <w:jc w:val="right"/>
              <w:rPr>
                <w:rFonts w:ascii="宋体" w:cs="宋体"/>
                <w:color w:val="000000"/>
                <w:kern w:val="0"/>
                <w:sz w:val="22"/>
              </w:rPr>
            </w:pPr>
            <w:r>
              <w:rPr>
                <w:rFonts w:ascii="宋体" w:cs="宋体" w:hint="eastAsia"/>
                <w:color w:val="000000"/>
                <w:kern w:val="0"/>
                <w:sz w:val="22"/>
              </w:rPr>
              <w:t>0</w:t>
            </w:r>
          </w:p>
        </w:tc>
      </w:tr>
      <w:tr w:rsidR="00746202">
        <w:trPr>
          <w:trHeight w:val="20"/>
        </w:trPr>
        <w:tc>
          <w:tcPr>
            <w:tcW w:w="3365" w:type="dxa"/>
            <w:gridSpan w:val="3"/>
            <w:vMerge/>
            <w:tcBorders>
              <w:top w:val="single" w:sz="4" w:space="0" w:color="auto"/>
              <w:left w:val="single" w:sz="4" w:space="0" w:color="auto"/>
              <w:bottom w:val="single" w:sz="4" w:space="0" w:color="auto"/>
              <w:right w:val="single" w:sz="4" w:space="0" w:color="auto"/>
            </w:tcBorders>
            <w:vAlign w:val="center"/>
          </w:tcPr>
          <w:p w:rsidR="00746202" w:rsidRDefault="00746202"/>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其他资金</w:t>
            </w:r>
            <w:r>
              <w:rPr>
                <w:rFonts w:ascii="宋体" w:cs="宋体" w:hint="eastAsia"/>
                <w:color w:val="000000"/>
                <w:kern w:val="0"/>
                <w:sz w:val="22"/>
              </w:rPr>
              <w:br/>
            </w:r>
            <w:r>
              <w:rPr>
                <w:rFonts w:ascii="宋体" w:cs="宋体" w:hint="eastAsia"/>
                <w:color w:val="000000"/>
                <w:kern w:val="0"/>
                <w:sz w:val="22"/>
              </w:rPr>
              <w:t>（包括结转结余）</w:t>
            </w:r>
          </w:p>
        </w:tc>
        <w:tc>
          <w:tcPr>
            <w:tcW w:w="2271" w:type="dxa"/>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0</w:t>
            </w:r>
          </w:p>
        </w:tc>
        <w:tc>
          <w:tcPr>
            <w:tcW w:w="3611" w:type="dxa"/>
            <w:gridSpan w:val="2"/>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0</w:t>
            </w:r>
          </w:p>
        </w:tc>
        <w:tc>
          <w:tcPr>
            <w:tcW w:w="2430" w:type="dxa"/>
            <w:tcBorders>
              <w:top w:val="nil"/>
              <w:left w:val="nil"/>
              <w:bottom w:val="single" w:sz="4" w:space="0" w:color="auto"/>
              <w:right w:val="single" w:sz="4" w:space="0" w:color="auto"/>
            </w:tcBorders>
            <w:shd w:val="clear" w:color="auto" w:fill="auto"/>
            <w:vAlign w:val="center"/>
          </w:tcPr>
          <w:p w:rsidR="00746202" w:rsidRDefault="0020726F">
            <w:pPr>
              <w:widowControl/>
              <w:jc w:val="right"/>
              <w:rPr>
                <w:rFonts w:ascii="宋体" w:cs="宋体"/>
                <w:color w:val="000000"/>
                <w:kern w:val="0"/>
                <w:sz w:val="22"/>
              </w:rPr>
            </w:pPr>
            <w:r>
              <w:rPr>
                <w:rFonts w:ascii="宋体" w:cs="宋体" w:hint="eastAsia"/>
                <w:color w:val="000000"/>
                <w:kern w:val="0"/>
                <w:sz w:val="22"/>
              </w:rPr>
              <w:t>0</w:t>
            </w:r>
          </w:p>
        </w:tc>
      </w:tr>
      <w:tr w:rsidR="00746202">
        <w:trPr>
          <w:cantSplit/>
          <w:trHeight w:val="20"/>
        </w:trPr>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年度总体目标</w:t>
            </w:r>
          </w:p>
        </w:tc>
        <w:tc>
          <w:tcPr>
            <w:tcW w:w="6773" w:type="dxa"/>
            <w:gridSpan w:val="4"/>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年初设定目标</w:t>
            </w:r>
          </w:p>
        </w:tc>
        <w:tc>
          <w:tcPr>
            <w:tcW w:w="6041" w:type="dxa"/>
            <w:gridSpan w:val="3"/>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全年实际完成情况</w:t>
            </w: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677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制定完善《福建省安全生产信息化总体建设方案》并对各设区市安全生产信息化总体设计进行统筹规范；</w:t>
            </w:r>
            <w:r>
              <w:rPr>
                <w:rFonts w:ascii="宋体" w:cs="宋体" w:hint="eastAsia"/>
                <w:color w:val="000000"/>
                <w:kern w:val="0"/>
                <w:sz w:val="22"/>
              </w:rPr>
              <w:t>2017</w:t>
            </w:r>
            <w:r>
              <w:rPr>
                <w:rFonts w:ascii="宋体" w:cs="宋体" w:hint="eastAsia"/>
                <w:color w:val="000000"/>
                <w:kern w:val="0"/>
                <w:sz w:val="22"/>
              </w:rPr>
              <w:t>年启动综合信息平台中的风险分级管控和隐患排查治理双重预防机制的信息化子系统建设，以及开展省级安全生产综合信息平台前期调研工作。</w:t>
            </w:r>
          </w:p>
        </w:tc>
        <w:tc>
          <w:tcPr>
            <w:tcW w:w="60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rPr>
                <w:rFonts w:ascii="宋体" w:cs="宋体"/>
                <w:color w:val="000000"/>
                <w:kern w:val="0"/>
                <w:sz w:val="22"/>
              </w:rPr>
            </w:pPr>
            <w:r>
              <w:rPr>
                <w:rFonts w:ascii="宋体" w:cs="宋体" w:hint="eastAsia"/>
                <w:color w:val="000000"/>
                <w:kern w:val="0"/>
                <w:sz w:val="22"/>
              </w:rPr>
              <w:t>1.2017</w:t>
            </w:r>
            <w:r>
              <w:rPr>
                <w:rFonts w:ascii="宋体" w:cs="宋体" w:hint="eastAsia"/>
                <w:color w:val="000000"/>
                <w:kern w:val="0"/>
                <w:sz w:val="22"/>
              </w:rPr>
              <w:t>年制定完善《福建省安全生产信息化总体建设方案》并对各设区市安全生产信息化总体设计进行统筹规范；</w:t>
            </w:r>
            <w:r>
              <w:rPr>
                <w:rFonts w:ascii="宋体" w:cs="宋体" w:hint="eastAsia"/>
                <w:color w:val="000000"/>
                <w:kern w:val="0"/>
                <w:sz w:val="22"/>
              </w:rPr>
              <w:br/>
              <w:t>2.</w:t>
            </w:r>
            <w:r>
              <w:rPr>
                <w:rFonts w:ascii="宋体" w:cs="宋体" w:hint="eastAsia"/>
                <w:color w:val="000000"/>
                <w:kern w:val="0"/>
                <w:sz w:val="22"/>
              </w:rPr>
              <w:t>高危行业（危险化学品）风险预警与防控系统已完成前期阶段，进入正式实施阶段，并完成</w:t>
            </w:r>
            <w:r>
              <w:rPr>
                <w:rFonts w:ascii="宋体" w:cs="宋体" w:hint="eastAsia"/>
                <w:color w:val="000000"/>
                <w:kern w:val="0"/>
                <w:sz w:val="22"/>
              </w:rPr>
              <w:t>190.93</w:t>
            </w:r>
            <w:r>
              <w:rPr>
                <w:rFonts w:ascii="宋体" w:cs="宋体" w:hint="eastAsia"/>
                <w:color w:val="000000"/>
                <w:kern w:val="0"/>
                <w:sz w:val="22"/>
              </w:rPr>
              <w:t>万资金支出。</w:t>
            </w:r>
            <w:r>
              <w:rPr>
                <w:rFonts w:ascii="宋体" w:cs="宋体" w:hint="eastAsia"/>
                <w:color w:val="000000"/>
                <w:kern w:val="0"/>
                <w:sz w:val="22"/>
              </w:rPr>
              <w:br/>
              <w:t>3.</w:t>
            </w:r>
            <w:r>
              <w:rPr>
                <w:rFonts w:ascii="宋体" w:cs="宋体" w:hint="eastAsia"/>
                <w:color w:val="000000"/>
                <w:kern w:val="0"/>
                <w:sz w:val="22"/>
              </w:rPr>
              <w:t>综合信息平台工程、全国安全生产“一张网”（安监云）、安全监管移</w:t>
            </w:r>
            <w:r>
              <w:rPr>
                <w:rFonts w:ascii="宋体" w:cs="宋体" w:hint="eastAsia"/>
                <w:color w:val="000000"/>
                <w:kern w:val="0"/>
                <w:sz w:val="22"/>
              </w:rPr>
              <w:t>动执法系统和终端配备、安全生产应急救援指挥系统建设，现正进行前期阶段可行性研究报告编制中，并已纳入《福建省安全生产信息化总体建设方案》中推进。</w:t>
            </w: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6773" w:type="dxa"/>
            <w:gridSpan w:val="4"/>
            <w:vMerge/>
            <w:tcBorders>
              <w:top w:val="single" w:sz="4" w:space="0" w:color="auto"/>
              <w:left w:val="single" w:sz="4" w:space="0" w:color="auto"/>
              <w:bottom w:val="single" w:sz="4" w:space="0" w:color="auto"/>
              <w:right w:val="single" w:sz="4" w:space="0" w:color="auto"/>
            </w:tcBorders>
            <w:vAlign w:val="center"/>
          </w:tcPr>
          <w:p w:rsidR="00746202" w:rsidRDefault="00746202"/>
        </w:tc>
        <w:tc>
          <w:tcPr>
            <w:tcW w:w="6041" w:type="dxa"/>
            <w:gridSpan w:val="3"/>
            <w:vMerge/>
            <w:tcBorders>
              <w:top w:val="single" w:sz="4" w:space="0" w:color="auto"/>
              <w:left w:val="single" w:sz="4" w:space="0" w:color="auto"/>
              <w:bottom w:val="single" w:sz="4" w:space="0" w:color="auto"/>
              <w:right w:val="single" w:sz="4" w:space="0" w:color="auto"/>
            </w:tcBorders>
            <w:vAlign w:val="center"/>
          </w:tcPr>
          <w:p w:rsidR="00746202" w:rsidRDefault="00746202"/>
        </w:tc>
      </w:tr>
      <w:tr w:rsidR="00746202">
        <w:trPr>
          <w:cantSplit/>
          <w:trHeight w:val="20"/>
        </w:trPr>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绩效指标</w:t>
            </w:r>
          </w:p>
        </w:tc>
        <w:tc>
          <w:tcPr>
            <w:tcW w:w="1135" w:type="dxa"/>
            <w:tcBorders>
              <w:top w:val="nil"/>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一级指标</w:t>
            </w:r>
          </w:p>
        </w:tc>
        <w:tc>
          <w:tcPr>
            <w:tcW w:w="1096" w:type="dxa"/>
            <w:tcBorders>
              <w:top w:val="nil"/>
              <w:left w:val="nil"/>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二级指标</w:t>
            </w:r>
          </w:p>
        </w:tc>
        <w:tc>
          <w:tcPr>
            <w:tcW w:w="4542" w:type="dxa"/>
            <w:gridSpan w:val="2"/>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三级指标</w:t>
            </w:r>
          </w:p>
        </w:tc>
        <w:tc>
          <w:tcPr>
            <w:tcW w:w="1855" w:type="dxa"/>
            <w:tcBorders>
              <w:top w:val="nil"/>
              <w:left w:val="nil"/>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年度指标值</w:t>
            </w:r>
          </w:p>
        </w:tc>
        <w:tc>
          <w:tcPr>
            <w:tcW w:w="1756" w:type="dxa"/>
            <w:tcBorders>
              <w:top w:val="nil"/>
              <w:left w:val="nil"/>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全年完成值</w:t>
            </w:r>
          </w:p>
        </w:tc>
        <w:tc>
          <w:tcPr>
            <w:tcW w:w="2430" w:type="dxa"/>
            <w:tcBorders>
              <w:top w:val="nil"/>
              <w:left w:val="nil"/>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未完成原因和改进措施</w:t>
            </w:r>
          </w:p>
        </w:tc>
      </w:tr>
      <w:tr w:rsidR="00746202">
        <w:trPr>
          <w:cantSplit/>
          <w:trHeight w:val="20"/>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产出指标</w:t>
            </w:r>
          </w:p>
        </w:tc>
        <w:tc>
          <w:tcPr>
            <w:tcW w:w="1096" w:type="dxa"/>
            <w:vMerge w:val="restart"/>
            <w:tcBorders>
              <w:top w:val="nil"/>
              <w:left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数量指标</w:t>
            </w:r>
          </w:p>
        </w:tc>
        <w:tc>
          <w:tcPr>
            <w:tcW w:w="4542" w:type="dxa"/>
            <w:gridSpan w:val="2"/>
            <w:tcBorders>
              <w:top w:val="single" w:sz="4" w:space="0" w:color="auto"/>
              <w:left w:val="nil"/>
              <w:bottom w:val="single" w:sz="4" w:space="0" w:color="auto"/>
              <w:right w:val="single" w:sz="4" w:space="0" w:color="000000"/>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制定完善《福建省安全生产信息化总体建设方案》</w:t>
            </w:r>
          </w:p>
        </w:tc>
        <w:tc>
          <w:tcPr>
            <w:tcW w:w="1855" w:type="dxa"/>
            <w:tcBorders>
              <w:top w:val="nil"/>
              <w:left w:val="nil"/>
              <w:bottom w:val="single" w:sz="4" w:space="0" w:color="auto"/>
              <w:right w:val="single" w:sz="4" w:space="0" w:color="auto"/>
            </w:tcBorders>
            <w:shd w:val="clear" w:color="auto" w:fill="auto"/>
            <w:vAlign w:val="center"/>
          </w:tcPr>
          <w:p w:rsidR="00746202" w:rsidRDefault="0020726F">
            <w:pPr>
              <w:widowControl/>
              <w:jc w:val="right"/>
              <w:rPr>
                <w:rFonts w:ascii="宋体" w:cs="宋体"/>
                <w:color w:val="000000"/>
                <w:kern w:val="0"/>
                <w:sz w:val="22"/>
              </w:rPr>
            </w:pPr>
            <w:r>
              <w:rPr>
                <w:rFonts w:ascii="宋体" w:cs="宋体" w:hint="eastAsia"/>
                <w:color w:val="000000"/>
                <w:kern w:val="0"/>
                <w:sz w:val="22"/>
              </w:rPr>
              <w:t>50%</w:t>
            </w:r>
          </w:p>
        </w:tc>
        <w:tc>
          <w:tcPr>
            <w:tcW w:w="1756" w:type="dxa"/>
            <w:tcBorders>
              <w:top w:val="nil"/>
              <w:left w:val="nil"/>
              <w:bottom w:val="single" w:sz="4" w:space="0" w:color="auto"/>
              <w:right w:val="single" w:sz="4" w:space="0" w:color="auto"/>
            </w:tcBorders>
            <w:shd w:val="clear" w:color="auto" w:fill="auto"/>
            <w:vAlign w:val="center"/>
          </w:tcPr>
          <w:p w:rsidR="00746202" w:rsidRDefault="0020726F">
            <w:pPr>
              <w:widowControl/>
              <w:jc w:val="right"/>
              <w:rPr>
                <w:rFonts w:ascii="宋体" w:cs="宋体"/>
                <w:color w:val="000000"/>
                <w:kern w:val="0"/>
                <w:sz w:val="22"/>
              </w:rPr>
            </w:pPr>
            <w:r>
              <w:rPr>
                <w:rFonts w:ascii="宋体" w:cs="宋体"/>
                <w:color w:val="000000"/>
                <w:kern w:val="0"/>
                <w:sz w:val="22"/>
              </w:rPr>
              <w:t>100</w:t>
            </w:r>
            <w:r>
              <w:rPr>
                <w:rFonts w:ascii="宋体" w:cs="宋体" w:hint="eastAsia"/>
                <w:color w:val="000000"/>
                <w:kern w:val="0"/>
                <w:sz w:val="22"/>
              </w:rPr>
              <w:t>%</w:t>
            </w:r>
          </w:p>
        </w:tc>
        <w:tc>
          <w:tcPr>
            <w:tcW w:w="2430" w:type="dxa"/>
            <w:tcBorders>
              <w:top w:val="nil"/>
              <w:left w:val="nil"/>
              <w:bottom w:val="single" w:sz="4" w:space="0" w:color="auto"/>
              <w:right w:val="single" w:sz="4" w:space="0" w:color="auto"/>
            </w:tcBorders>
            <w:shd w:val="clear" w:color="auto" w:fill="auto"/>
            <w:vAlign w:val="center"/>
          </w:tcPr>
          <w:p w:rsidR="00746202" w:rsidRDefault="00746202">
            <w:pPr>
              <w:widowControl/>
              <w:jc w:val="left"/>
              <w:rPr>
                <w:rFonts w:ascii="宋体" w:cs="宋体"/>
                <w:color w:val="000000"/>
                <w:kern w:val="0"/>
                <w:sz w:val="22"/>
              </w:rPr>
            </w:pPr>
          </w:p>
        </w:tc>
      </w:tr>
      <w:tr w:rsidR="00746202">
        <w:trPr>
          <w:cantSplit/>
          <w:trHeight w:val="856"/>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tcBorders>
              <w:left w:val="single" w:sz="4" w:space="0" w:color="auto"/>
              <w:bottom w:val="nil"/>
              <w:right w:val="single" w:sz="4" w:space="0" w:color="auto"/>
            </w:tcBorders>
            <w:vAlign w:val="center"/>
          </w:tcPr>
          <w:p w:rsidR="00746202" w:rsidRDefault="00746202"/>
        </w:tc>
        <w:tc>
          <w:tcPr>
            <w:tcW w:w="4542"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2017</w:t>
            </w:r>
            <w:r>
              <w:rPr>
                <w:rFonts w:ascii="宋体" w:cs="宋体" w:hint="eastAsia"/>
                <w:color w:val="000000"/>
                <w:kern w:val="0"/>
                <w:sz w:val="22"/>
              </w:rPr>
              <w:t>年启动综合信息平台中的风险分级管控和隐患排查治理双重预防机制的信息化子系统建设</w:t>
            </w:r>
            <w:r>
              <w:rPr>
                <w:rFonts w:ascii="宋体" w:cs="宋体" w:hint="eastAsia"/>
                <w:color w:val="000000"/>
                <w:kern w:val="0"/>
                <w:sz w:val="22"/>
              </w:rPr>
              <w:t>,</w:t>
            </w:r>
            <w:r>
              <w:rPr>
                <w:rFonts w:ascii="宋体" w:cs="宋体" w:hint="eastAsia"/>
                <w:color w:val="000000"/>
                <w:kern w:val="0"/>
                <w:sz w:val="22"/>
              </w:rPr>
              <w:t>分行业分领域逐步推进建设</w:t>
            </w:r>
          </w:p>
        </w:tc>
        <w:tc>
          <w:tcPr>
            <w:tcW w:w="1855" w:type="dxa"/>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right"/>
              <w:rPr>
                <w:rFonts w:ascii="宋体" w:cs="宋体"/>
                <w:color w:val="000000"/>
                <w:kern w:val="0"/>
                <w:sz w:val="22"/>
              </w:rPr>
            </w:pPr>
            <w:r>
              <w:rPr>
                <w:rFonts w:ascii="宋体" w:cs="宋体" w:hint="eastAsia"/>
                <w:color w:val="000000"/>
                <w:kern w:val="0"/>
                <w:sz w:val="22"/>
              </w:rPr>
              <w:t>30%</w:t>
            </w:r>
          </w:p>
        </w:tc>
        <w:tc>
          <w:tcPr>
            <w:tcW w:w="1756" w:type="dxa"/>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right"/>
              <w:rPr>
                <w:rFonts w:ascii="宋体" w:cs="宋体"/>
                <w:color w:val="000000"/>
                <w:kern w:val="0"/>
                <w:sz w:val="22"/>
              </w:rPr>
            </w:pPr>
            <w:r>
              <w:rPr>
                <w:rFonts w:ascii="宋体" w:cs="宋体" w:hint="eastAsia"/>
                <w:color w:val="000000"/>
                <w:kern w:val="0"/>
                <w:sz w:val="22"/>
              </w:rPr>
              <w:t>20%</w:t>
            </w:r>
          </w:p>
        </w:tc>
        <w:tc>
          <w:tcPr>
            <w:tcW w:w="2430" w:type="dxa"/>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涉及行业种类多、企业数量大，调研等前期工作耗时长。</w:t>
            </w: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tcBorders>
              <w:left w:val="single" w:sz="4" w:space="0" w:color="auto"/>
              <w:bottom w:val="single" w:sz="4" w:space="0" w:color="auto"/>
              <w:right w:val="single" w:sz="4" w:space="0" w:color="auto"/>
            </w:tcBorders>
            <w:vAlign w:val="center"/>
          </w:tcPr>
          <w:p w:rsidR="00746202" w:rsidRDefault="00746202"/>
        </w:tc>
        <w:tc>
          <w:tcPr>
            <w:tcW w:w="4542" w:type="dxa"/>
            <w:gridSpan w:val="2"/>
            <w:tcBorders>
              <w:top w:val="single" w:sz="4" w:space="0" w:color="auto"/>
              <w:left w:val="single" w:sz="4" w:space="0" w:color="auto"/>
              <w:bottom w:val="single" w:sz="4" w:space="0" w:color="000000"/>
              <w:right w:val="single" w:sz="4" w:space="0" w:color="000000"/>
            </w:tcBorders>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高危行业（危险化学品）企业风险预警与防控工程试点项目建设完成数量</w:t>
            </w:r>
          </w:p>
        </w:tc>
        <w:tc>
          <w:tcPr>
            <w:tcW w:w="1855" w:type="dxa"/>
            <w:tcBorders>
              <w:top w:val="nil"/>
              <w:left w:val="single" w:sz="4" w:space="0" w:color="auto"/>
              <w:bottom w:val="single" w:sz="4" w:space="0" w:color="000000"/>
              <w:right w:val="single" w:sz="4" w:space="0" w:color="auto"/>
            </w:tcBorders>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园区推进建设</w:t>
            </w:r>
            <w:r>
              <w:rPr>
                <w:rFonts w:ascii="宋体" w:cs="宋体" w:hint="eastAsia"/>
                <w:color w:val="000000"/>
                <w:kern w:val="0"/>
                <w:sz w:val="22"/>
              </w:rPr>
              <w:t>1</w:t>
            </w:r>
            <w:r>
              <w:rPr>
                <w:rFonts w:ascii="宋体" w:cs="宋体" w:hint="eastAsia"/>
                <w:color w:val="000000"/>
                <w:kern w:val="0"/>
                <w:sz w:val="22"/>
              </w:rPr>
              <w:t>套高危行业（危险化学品）企业安全生产风险预警与防控系统。省局平台建设，项目按时完成招投标工作，确定建设单位和建设任务。</w:t>
            </w:r>
          </w:p>
        </w:tc>
        <w:tc>
          <w:tcPr>
            <w:tcW w:w="1756" w:type="dxa"/>
            <w:tcBorders>
              <w:top w:val="nil"/>
              <w:left w:val="single" w:sz="4" w:space="0" w:color="auto"/>
              <w:bottom w:val="single" w:sz="4" w:space="0" w:color="000000"/>
              <w:right w:val="single" w:sz="4" w:space="0" w:color="auto"/>
            </w:tcBorders>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园区建设</w:t>
            </w:r>
            <w:r>
              <w:rPr>
                <w:rFonts w:ascii="宋体" w:cs="宋体" w:hint="eastAsia"/>
                <w:color w:val="000000"/>
                <w:kern w:val="0"/>
                <w:sz w:val="22"/>
              </w:rPr>
              <w:t>1</w:t>
            </w:r>
            <w:r>
              <w:rPr>
                <w:rFonts w:ascii="宋体" w:cs="宋体" w:hint="eastAsia"/>
                <w:color w:val="000000"/>
                <w:kern w:val="0"/>
                <w:sz w:val="22"/>
              </w:rPr>
              <w:t>套高危行业（危险化学品）企业安全生产风险预警与防控系统。二是省局平台建设，项目已于</w:t>
            </w:r>
            <w:r>
              <w:rPr>
                <w:rFonts w:ascii="宋体" w:cs="宋体" w:hint="eastAsia"/>
                <w:color w:val="000000"/>
                <w:kern w:val="0"/>
                <w:sz w:val="22"/>
              </w:rPr>
              <w:t>2017</w:t>
            </w:r>
            <w:r>
              <w:rPr>
                <w:rFonts w:ascii="宋体" w:cs="宋体" w:hint="eastAsia"/>
                <w:color w:val="000000"/>
                <w:kern w:val="0"/>
                <w:sz w:val="22"/>
              </w:rPr>
              <w:t>年</w:t>
            </w:r>
            <w:r>
              <w:rPr>
                <w:rFonts w:ascii="宋体" w:cs="宋体" w:hint="eastAsia"/>
                <w:color w:val="000000"/>
                <w:kern w:val="0"/>
                <w:sz w:val="22"/>
              </w:rPr>
              <w:t>9</w:t>
            </w:r>
            <w:r>
              <w:rPr>
                <w:rFonts w:ascii="宋体" w:cs="宋体" w:hint="eastAsia"/>
                <w:color w:val="000000"/>
                <w:kern w:val="0"/>
                <w:sz w:val="22"/>
              </w:rPr>
              <w:t>月完成招投标工作，确定建设单位和建设任务。</w:t>
            </w:r>
          </w:p>
        </w:tc>
        <w:tc>
          <w:tcPr>
            <w:tcW w:w="2430" w:type="dxa"/>
            <w:tcBorders>
              <w:top w:val="nil"/>
              <w:left w:val="single" w:sz="4" w:space="0" w:color="auto"/>
              <w:bottom w:val="single" w:sz="4" w:space="0" w:color="000000"/>
              <w:right w:val="single" w:sz="4" w:space="0" w:color="auto"/>
            </w:tcBorders>
            <w:vAlign w:val="center"/>
          </w:tcPr>
          <w:p w:rsidR="00746202" w:rsidRDefault="00746202">
            <w:pPr>
              <w:widowControl/>
              <w:jc w:val="left"/>
              <w:rPr>
                <w:rFonts w:ascii="宋体" w:cs="宋体"/>
                <w:color w:val="000000"/>
                <w:kern w:val="0"/>
                <w:sz w:val="22"/>
              </w:rPr>
            </w:pPr>
          </w:p>
        </w:tc>
      </w:tr>
      <w:tr w:rsidR="00746202">
        <w:trPr>
          <w:cantSplit/>
          <w:trHeight w:val="20"/>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val="restart"/>
            <w:tcBorders>
              <w:top w:val="nil"/>
              <w:left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质量指标</w:t>
            </w:r>
          </w:p>
        </w:tc>
        <w:tc>
          <w:tcPr>
            <w:tcW w:w="4542" w:type="dxa"/>
            <w:gridSpan w:val="2"/>
            <w:tcBorders>
              <w:top w:val="single" w:sz="4" w:space="0" w:color="auto"/>
              <w:left w:val="nil"/>
              <w:bottom w:val="single" w:sz="4" w:space="0" w:color="auto"/>
              <w:right w:val="single" w:sz="4" w:space="0" w:color="000000"/>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对全省安全生产信息化总体设计进行统筹规范、对建设进度、实施主体、数据标准体系、基础设施设计进行规范</w:t>
            </w:r>
          </w:p>
        </w:tc>
        <w:tc>
          <w:tcPr>
            <w:tcW w:w="1855" w:type="dxa"/>
            <w:tcBorders>
              <w:top w:val="nil"/>
              <w:left w:val="nil"/>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全省安全生产信息化总体设计进行统筹规范</w:t>
            </w:r>
          </w:p>
        </w:tc>
        <w:tc>
          <w:tcPr>
            <w:tcW w:w="1756" w:type="dxa"/>
            <w:tcBorders>
              <w:top w:val="nil"/>
              <w:left w:val="nil"/>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全省安全生产信息化总体设计进行统筹规范</w:t>
            </w:r>
          </w:p>
        </w:tc>
        <w:tc>
          <w:tcPr>
            <w:tcW w:w="2430" w:type="dxa"/>
            <w:tcBorders>
              <w:top w:val="nil"/>
              <w:left w:val="nil"/>
              <w:bottom w:val="single" w:sz="4" w:space="0" w:color="auto"/>
              <w:right w:val="single" w:sz="4" w:space="0" w:color="auto"/>
            </w:tcBorders>
            <w:shd w:val="clear" w:color="auto" w:fill="auto"/>
            <w:vAlign w:val="center"/>
          </w:tcPr>
          <w:p w:rsidR="00746202" w:rsidRDefault="00746202">
            <w:pPr>
              <w:widowControl/>
              <w:jc w:val="left"/>
              <w:rPr>
                <w:rFonts w:ascii="宋体" w:cs="宋体"/>
                <w:color w:val="000000"/>
                <w:kern w:val="0"/>
                <w:sz w:val="22"/>
              </w:rPr>
            </w:pPr>
          </w:p>
        </w:tc>
      </w:tr>
      <w:tr w:rsidR="00746202">
        <w:trPr>
          <w:cantSplit/>
          <w:trHeight w:val="856"/>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tcBorders>
              <w:left w:val="single" w:sz="4" w:space="0" w:color="auto"/>
              <w:bottom w:val="nil"/>
              <w:right w:val="single" w:sz="4" w:space="0" w:color="auto"/>
            </w:tcBorders>
            <w:vAlign w:val="center"/>
          </w:tcPr>
          <w:p w:rsidR="00746202" w:rsidRDefault="00746202"/>
        </w:tc>
        <w:tc>
          <w:tcPr>
            <w:tcW w:w="4542"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对全省高位行业领域分阶段分行业逐步推进双重预防机制，实现企业安全生产风险分级管控和隐患排查自查自报自改</w:t>
            </w:r>
          </w:p>
        </w:tc>
        <w:tc>
          <w:tcPr>
            <w:tcW w:w="1855" w:type="dxa"/>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启动隐患排查治理的信息化子系统建设</w:t>
            </w:r>
          </w:p>
        </w:tc>
        <w:tc>
          <w:tcPr>
            <w:tcW w:w="1756" w:type="dxa"/>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启动隐患排查治理的信息化子系统建设</w:t>
            </w:r>
          </w:p>
        </w:tc>
        <w:tc>
          <w:tcPr>
            <w:tcW w:w="2430" w:type="dxa"/>
            <w:tcBorders>
              <w:top w:val="nil"/>
              <w:left w:val="single" w:sz="4" w:space="0" w:color="auto"/>
              <w:bottom w:val="single" w:sz="4" w:space="0" w:color="000000"/>
              <w:right w:val="single" w:sz="4" w:space="0" w:color="auto"/>
            </w:tcBorders>
            <w:shd w:val="clear" w:color="auto" w:fill="auto"/>
            <w:vAlign w:val="center"/>
          </w:tcPr>
          <w:p w:rsidR="00746202" w:rsidRDefault="00746202">
            <w:pPr>
              <w:widowControl/>
              <w:jc w:val="center"/>
              <w:rPr>
                <w:rFonts w:ascii="宋体" w:cs="宋体"/>
                <w:color w:val="000000"/>
                <w:kern w:val="0"/>
                <w:sz w:val="22"/>
              </w:rPr>
            </w:pP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tcBorders>
              <w:left w:val="single" w:sz="4" w:space="0" w:color="auto"/>
              <w:bottom w:val="single" w:sz="4" w:space="0" w:color="auto"/>
              <w:right w:val="single" w:sz="4" w:space="0" w:color="auto"/>
            </w:tcBorders>
            <w:vAlign w:val="center"/>
          </w:tcPr>
          <w:p w:rsidR="00746202" w:rsidRDefault="00746202"/>
        </w:tc>
        <w:tc>
          <w:tcPr>
            <w:tcW w:w="4542" w:type="dxa"/>
            <w:gridSpan w:val="2"/>
            <w:tcBorders>
              <w:top w:val="single" w:sz="4" w:space="0" w:color="auto"/>
              <w:left w:val="single" w:sz="4" w:space="0" w:color="auto"/>
              <w:bottom w:val="single" w:sz="4" w:space="0" w:color="000000"/>
              <w:right w:val="single" w:sz="4" w:space="0" w:color="000000"/>
            </w:tcBorders>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高危行业（危险化学品）企业风险预警与防控工程试点项目建设完成质量</w:t>
            </w:r>
          </w:p>
        </w:tc>
        <w:tc>
          <w:tcPr>
            <w:tcW w:w="1855" w:type="dxa"/>
            <w:tcBorders>
              <w:top w:val="nil"/>
              <w:left w:val="single" w:sz="4" w:space="0" w:color="auto"/>
              <w:bottom w:val="single" w:sz="4" w:space="0" w:color="000000"/>
              <w:right w:val="single" w:sz="4" w:space="0" w:color="auto"/>
            </w:tcBorders>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上杭县</w:t>
            </w:r>
            <w:proofErr w:type="gramStart"/>
            <w:r>
              <w:rPr>
                <w:rFonts w:ascii="宋体" w:cs="宋体" w:hint="eastAsia"/>
                <w:color w:val="000000"/>
                <w:kern w:val="0"/>
                <w:sz w:val="22"/>
              </w:rPr>
              <w:t>蛟</w:t>
            </w:r>
            <w:proofErr w:type="gramEnd"/>
            <w:r>
              <w:rPr>
                <w:rFonts w:ascii="宋体" w:cs="宋体" w:hint="eastAsia"/>
                <w:color w:val="000000"/>
                <w:kern w:val="0"/>
                <w:sz w:val="22"/>
              </w:rPr>
              <w:t>洋化工</w:t>
            </w:r>
            <w:proofErr w:type="gramStart"/>
            <w:r>
              <w:rPr>
                <w:rFonts w:ascii="宋体" w:cs="宋体" w:hint="eastAsia"/>
                <w:color w:val="000000"/>
                <w:kern w:val="0"/>
                <w:sz w:val="22"/>
              </w:rPr>
              <w:t>园区试点</w:t>
            </w:r>
            <w:proofErr w:type="gramEnd"/>
            <w:r>
              <w:rPr>
                <w:rFonts w:ascii="宋体" w:cs="宋体" w:hint="eastAsia"/>
                <w:color w:val="000000"/>
                <w:kern w:val="0"/>
                <w:sz w:val="22"/>
              </w:rPr>
              <w:t>实现试点的</w:t>
            </w:r>
            <w:r>
              <w:rPr>
                <w:rFonts w:ascii="宋体" w:cs="宋体" w:hint="eastAsia"/>
                <w:color w:val="000000"/>
                <w:kern w:val="0"/>
                <w:sz w:val="22"/>
              </w:rPr>
              <w:t>5</w:t>
            </w:r>
            <w:r>
              <w:rPr>
                <w:rFonts w:ascii="宋体" w:cs="宋体" w:hint="eastAsia"/>
                <w:color w:val="000000"/>
                <w:kern w:val="0"/>
                <w:sz w:val="22"/>
              </w:rPr>
              <w:t>家企业的企业端监控数据采集、传输对接。省局平台建设实现试点的</w:t>
            </w:r>
            <w:r>
              <w:rPr>
                <w:rFonts w:ascii="宋体" w:cs="宋体" w:hint="eastAsia"/>
                <w:color w:val="000000"/>
                <w:kern w:val="0"/>
                <w:sz w:val="22"/>
              </w:rPr>
              <w:t>10</w:t>
            </w:r>
            <w:r>
              <w:rPr>
                <w:rFonts w:ascii="宋体" w:cs="宋体" w:hint="eastAsia"/>
                <w:color w:val="000000"/>
                <w:kern w:val="0"/>
                <w:sz w:val="22"/>
              </w:rPr>
              <w:t>家企业的企业端监控数据采集、传输和接入并实现和国家联网数据对接。</w:t>
            </w:r>
          </w:p>
        </w:tc>
        <w:tc>
          <w:tcPr>
            <w:tcW w:w="1756" w:type="dxa"/>
            <w:tcBorders>
              <w:top w:val="nil"/>
              <w:left w:val="single" w:sz="4" w:space="0" w:color="auto"/>
              <w:bottom w:val="single" w:sz="4" w:space="0" w:color="000000"/>
              <w:right w:val="single" w:sz="4" w:space="0" w:color="auto"/>
            </w:tcBorders>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上杭县</w:t>
            </w:r>
            <w:proofErr w:type="gramStart"/>
            <w:r>
              <w:rPr>
                <w:rFonts w:ascii="宋体" w:cs="宋体" w:hint="eastAsia"/>
                <w:color w:val="000000"/>
                <w:kern w:val="0"/>
                <w:sz w:val="22"/>
              </w:rPr>
              <w:t>蛟</w:t>
            </w:r>
            <w:proofErr w:type="gramEnd"/>
            <w:r>
              <w:rPr>
                <w:rFonts w:ascii="宋体" w:cs="宋体" w:hint="eastAsia"/>
                <w:color w:val="000000"/>
                <w:kern w:val="0"/>
                <w:sz w:val="22"/>
              </w:rPr>
              <w:t>洋化工</w:t>
            </w:r>
            <w:proofErr w:type="gramStart"/>
            <w:r>
              <w:rPr>
                <w:rFonts w:ascii="宋体" w:cs="宋体" w:hint="eastAsia"/>
                <w:color w:val="000000"/>
                <w:kern w:val="0"/>
                <w:sz w:val="22"/>
              </w:rPr>
              <w:t>园区试点</w:t>
            </w:r>
            <w:proofErr w:type="gramEnd"/>
            <w:r>
              <w:rPr>
                <w:rFonts w:ascii="宋体" w:cs="宋体" w:hint="eastAsia"/>
                <w:color w:val="000000"/>
                <w:kern w:val="0"/>
                <w:sz w:val="22"/>
              </w:rPr>
              <w:t>实现试点的</w:t>
            </w:r>
            <w:r>
              <w:rPr>
                <w:rFonts w:ascii="宋体" w:cs="宋体" w:hint="eastAsia"/>
                <w:color w:val="000000"/>
                <w:kern w:val="0"/>
                <w:sz w:val="22"/>
              </w:rPr>
              <w:t>5</w:t>
            </w:r>
            <w:r>
              <w:rPr>
                <w:rFonts w:ascii="宋体" w:cs="宋体" w:hint="eastAsia"/>
                <w:color w:val="000000"/>
                <w:kern w:val="0"/>
                <w:sz w:val="22"/>
              </w:rPr>
              <w:t>家企业的企业端监控数据采集、传输对接。省局平台建设实现试点的</w:t>
            </w:r>
            <w:r>
              <w:rPr>
                <w:rFonts w:ascii="宋体" w:cs="宋体" w:hint="eastAsia"/>
                <w:color w:val="000000"/>
                <w:kern w:val="0"/>
                <w:sz w:val="22"/>
              </w:rPr>
              <w:t>10</w:t>
            </w:r>
            <w:r>
              <w:rPr>
                <w:rFonts w:ascii="宋体" w:cs="宋体" w:hint="eastAsia"/>
                <w:color w:val="000000"/>
                <w:kern w:val="0"/>
                <w:sz w:val="22"/>
              </w:rPr>
              <w:t>家企业的企业端监控数据采集、传输和接入并实现和国家联网数据对接。</w:t>
            </w:r>
          </w:p>
        </w:tc>
        <w:tc>
          <w:tcPr>
            <w:tcW w:w="2430" w:type="dxa"/>
            <w:tcBorders>
              <w:top w:val="nil"/>
              <w:left w:val="single" w:sz="4" w:space="0" w:color="auto"/>
              <w:bottom w:val="single" w:sz="4" w:space="0" w:color="000000"/>
              <w:right w:val="single" w:sz="4" w:space="0" w:color="auto"/>
            </w:tcBorders>
            <w:vAlign w:val="center"/>
          </w:tcPr>
          <w:p w:rsidR="00746202" w:rsidRDefault="00746202">
            <w:pPr>
              <w:widowControl/>
              <w:jc w:val="left"/>
              <w:rPr>
                <w:rFonts w:ascii="宋体" w:cs="宋体"/>
                <w:color w:val="000000"/>
                <w:kern w:val="0"/>
                <w:sz w:val="22"/>
              </w:rPr>
            </w:pP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val="restart"/>
            <w:tcBorders>
              <w:top w:val="nil"/>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时效指标</w:t>
            </w:r>
          </w:p>
        </w:tc>
        <w:tc>
          <w:tcPr>
            <w:tcW w:w="45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项目实施时间与计划时间的差异情况</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无</w:t>
            </w:r>
          </w:p>
        </w:tc>
        <w:tc>
          <w:tcPr>
            <w:tcW w:w="1756"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没有较大差异</w:t>
            </w:r>
          </w:p>
        </w:tc>
        <w:tc>
          <w:tcPr>
            <w:tcW w:w="2430"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746202">
            <w:pPr>
              <w:widowControl/>
              <w:jc w:val="center"/>
              <w:rPr>
                <w:rFonts w:ascii="宋体" w:cs="宋体"/>
                <w:color w:val="000000"/>
                <w:kern w:val="0"/>
                <w:sz w:val="22"/>
              </w:rPr>
            </w:pP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tcBorders>
              <w:top w:val="nil"/>
              <w:left w:val="single" w:sz="4" w:space="0" w:color="auto"/>
              <w:bottom w:val="single" w:sz="4" w:space="0" w:color="auto"/>
              <w:right w:val="single" w:sz="4" w:space="0" w:color="auto"/>
            </w:tcBorders>
            <w:vAlign w:val="center"/>
          </w:tcPr>
          <w:p w:rsidR="00746202" w:rsidRDefault="00746202"/>
        </w:tc>
        <w:tc>
          <w:tcPr>
            <w:tcW w:w="4542" w:type="dxa"/>
            <w:gridSpan w:val="2"/>
            <w:vMerge/>
            <w:tcBorders>
              <w:top w:val="single" w:sz="4" w:space="0" w:color="auto"/>
              <w:left w:val="single" w:sz="4" w:space="0" w:color="auto"/>
              <w:bottom w:val="single" w:sz="4" w:space="0" w:color="000000"/>
              <w:right w:val="single" w:sz="4" w:space="0" w:color="000000"/>
            </w:tcBorders>
            <w:vAlign w:val="center"/>
          </w:tcPr>
          <w:p w:rsidR="00746202" w:rsidRDefault="00746202"/>
        </w:tc>
        <w:tc>
          <w:tcPr>
            <w:tcW w:w="1855" w:type="dxa"/>
            <w:vMerge/>
            <w:tcBorders>
              <w:top w:val="nil"/>
              <w:left w:val="single" w:sz="4" w:space="0" w:color="auto"/>
              <w:bottom w:val="single" w:sz="4" w:space="0" w:color="000000"/>
              <w:right w:val="single" w:sz="4" w:space="0" w:color="auto"/>
            </w:tcBorders>
            <w:vAlign w:val="center"/>
          </w:tcPr>
          <w:p w:rsidR="00746202" w:rsidRDefault="00746202"/>
        </w:tc>
        <w:tc>
          <w:tcPr>
            <w:tcW w:w="1756" w:type="dxa"/>
            <w:vMerge/>
            <w:tcBorders>
              <w:top w:val="nil"/>
              <w:left w:val="single" w:sz="4" w:space="0" w:color="auto"/>
              <w:bottom w:val="single" w:sz="4" w:space="0" w:color="000000"/>
              <w:right w:val="single" w:sz="4" w:space="0" w:color="auto"/>
            </w:tcBorders>
            <w:vAlign w:val="center"/>
          </w:tcPr>
          <w:p w:rsidR="00746202" w:rsidRDefault="00746202"/>
        </w:tc>
        <w:tc>
          <w:tcPr>
            <w:tcW w:w="2430" w:type="dxa"/>
            <w:vMerge/>
            <w:tcBorders>
              <w:top w:val="nil"/>
              <w:left w:val="single" w:sz="4" w:space="0" w:color="auto"/>
              <w:bottom w:val="single" w:sz="4" w:space="0" w:color="000000"/>
              <w:right w:val="single" w:sz="4" w:space="0" w:color="auto"/>
            </w:tcBorders>
            <w:vAlign w:val="center"/>
          </w:tcPr>
          <w:p w:rsidR="00746202" w:rsidRDefault="00746202"/>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tcBorders>
              <w:top w:val="nil"/>
              <w:left w:val="single" w:sz="4" w:space="0" w:color="auto"/>
              <w:bottom w:val="single" w:sz="4" w:space="0" w:color="auto"/>
              <w:right w:val="single" w:sz="4" w:space="0" w:color="auto"/>
            </w:tcBorders>
            <w:vAlign w:val="center"/>
          </w:tcPr>
          <w:p w:rsidR="00746202" w:rsidRDefault="00746202"/>
        </w:tc>
        <w:tc>
          <w:tcPr>
            <w:tcW w:w="4542" w:type="dxa"/>
            <w:gridSpan w:val="2"/>
            <w:vMerge/>
            <w:tcBorders>
              <w:top w:val="single" w:sz="4" w:space="0" w:color="auto"/>
              <w:left w:val="single" w:sz="4" w:space="0" w:color="auto"/>
              <w:bottom w:val="single" w:sz="4" w:space="0" w:color="000000"/>
              <w:right w:val="single" w:sz="4" w:space="0" w:color="000000"/>
            </w:tcBorders>
            <w:vAlign w:val="center"/>
          </w:tcPr>
          <w:p w:rsidR="00746202" w:rsidRDefault="00746202"/>
        </w:tc>
        <w:tc>
          <w:tcPr>
            <w:tcW w:w="1855" w:type="dxa"/>
            <w:vMerge/>
            <w:tcBorders>
              <w:top w:val="nil"/>
              <w:left w:val="single" w:sz="4" w:space="0" w:color="auto"/>
              <w:bottom w:val="single" w:sz="4" w:space="0" w:color="000000"/>
              <w:right w:val="single" w:sz="4" w:space="0" w:color="auto"/>
            </w:tcBorders>
            <w:vAlign w:val="center"/>
          </w:tcPr>
          <w:p w:rsidR="00746202" w:rsidRDefault="00746202"/>
        </w:tc>
        <w:tc>
          <w:tcPr>
            <w:tcW w:w="1756" w:type="dxa"/>
            <w:vMerge/>
            <w:tcBorders>
              <w:top w:val="nil"/>
              <w:left w:val="single" w:sz="4" w:space="0" w:color="auto"/>
              <w:bottom w:val="single" w:sz="4" w:space="0" w:color="000000"/>
              <w:right w:val="single" w:sz="4" w:space="0" w:color="auto"/>
            </w:tcBorders>
            <w:vAlign w:val="center"/>
          </w:tcPr>
          <w:p w:rsidR="00746202" w:rsidRDefault="00746202"/>
        </w:tc>
        <w:tc>
          <w:tcPr>
            <w:tcW w:w="2430" w:type="dxa"/>
            <w:vMerge/>
            <w:tcBorders>
              <w:top w:val="nil"/>
              <w:left w:val="single" w:sz="4" w:space="0" w:color="auto"/>
              <w:bottom w:val="single" w:sz="4" w:space="0" w:color="000000"/>
              <w:right w:val="single" w:sz="4" w:space="0" w:color="auto"/>
            </w:tcBorders>
            <w:vAlign w:val="center"/>
          </w:tcPr>
          <w:p w:rsidR="00746202" w:rsidRDefault="00746202"/>
        </w:tc>
      </w:tr>
      <w:tr w:rsidR="00746202">
        <w:trPr>
          <w:cantSplit/>
          <w:trHeight w:val="20"/>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成本指标</w:t>
            </w:r>
          </w:p>
        </w:tc>
        <w:tc>
          <w:tcPr>
            <w:tcW w:w="4542" w:type="dxa"/>
            <w:gridSpan w:val="2"/>
            <w:tcBorders>
              <w:top w:val="single" w:sz="4" w:space="0" w:color="auto"/>
              <w:left w:val="nil"/>
              <w:bottom w:val="single" w:sz="4" w:space="0" w:color="auto"/>
              <w:right w:val="single" w:sz="4" w:space="0" w:color="000000"/>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中标金额与招标金额差异情况</w:t>
            </w:r>
          </w:p>
        </w:tc>
        <w:tc>
          <w:tcPr>
            <w:tcW w:w="1855" w:type="dxa"/>
            <w:tcBorders>
              <w:top w:val="nil"/>
              <w:left w:val="nil"/>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中标金额小于招标金额</w:t>
            </w:r>
          </w:p>
        </w:tc>
        <w:tc>
          <w:tcPr>
            <w:tcW w:w="1756" w:type="dxa"/>
            <w:tcBorders>
              <w:top w:val="nil"/>
              <w:left w:val="nil"/>
              <w:bottom w:val="single" w:sz="4" w:space="0" w:color="auto"/>
              <w:right w:val="single" w:sz="4" w:space="0" w:color="auto"/>
            </w:tcBorders>
            <w:shd w:val="clear" w:color="auto" w:fill="auto"/>
            <w:vAlign w:val="center"/>
          </w:tcPr>
          <w:p w:rsidR="00746202" w:rsidRDefault="00746202">
            <w:pPr>
              <w:widowControl/>
              <w:jc w:val="left"/>
              <w:rPr>
                <w:rFonts w:ascii="宋体" w:cs="宋体"/>
                <w:color w:val="000000"/>
                <w:kern w:val="0"/>
                <w:sz w:val="22"/>
              </w:rPr>
            </w:pPr>
          </w:p>
        </w:tc>
        <w:tc>
          <w:tcPr>
            <w:tcW w:w="2430" w:type="dxa"/>
            <w:tcBorders>
              <w:top w:val="nil"/>
              <w:left w:val="nil"/>
              <w:bottom w:val="single" w:sz="4" w:space="0" w:color="auto"/>
              <w:right w:val="single" w:sz="4" w:space="0" w:color="auto"/>
            </w:tcBorders>
            <w:shd w:val="clear" w:color="auto" w:fill="auto"/>
            <w:vAlign w:val="center"/>
          </w:tcPr>
          <w:p w:rsidR="00746202" w:rsidRDefault="00746202">
            <w:pPr>
              <w:widowControl/>
              <w:jc w:val="left"/>
              <w:rPr>
                <w:rFonts w:ascii="宋体" w:cs="宋体"/>
                <w:color w:val="000000"/>
                <w:kern w:val="0"/>
                <w:sz w:val="22"/>
              </w:rPr>
            </w:pPr>
          </w:p>
        </w:tc>
      </w:tr>
      <w:tr w:rsidR="00746202">
        <w:trPr>
          <w:cantSplit/>
          <w:trHeight w:val="956"/>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000000"/>
              <w:right w:val="single" w:sz="4" w:space="0" w:color="auto"/>
            </w:tcBorders>
            <w:vAlign w:val="center"/>
          </w:tcPr>
          <w:p w:rsidR="00746202" w:rsidRDefault="00746202"/>
        </w:tc>
        <w:tc>
          <w:tcPr>
            <w:tcW w:w="1096" w:type="dxa"/>
            <w:vMerge/>
            <w:tcBorders>
              <w:top w:val="single" w:sz="4" w:space="0" w:color="auto"/>
              <w:left w:val="single" w:sz="4" w:space="0" w:color="auto"/>
              <w:bottom w:val="single" w:sz="4" w:space="0" w:color="auto"/>
              <w:right w:val="single" w:sz="4" w:space="0" w:color="auto"/>
            </w:tcBorders>
            <w:vAlign w:val="center"/>
          </w:tcPr>
          <w:p w:rsidR="00746202" w:rsidRDefault="00746202"/>
        </w:tc>
        <w:tc>
          <w:tcPr>
            <w:tcW w:w="4542" w:type="dxa"/>
            <w:gridSpan w:val="2"/>
            <w:tcBorders>
              <w:top w:val="single" w:sz="4" w:space="0" w:color="auto"/>
              <w:left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项目建设内容比计划建设内容差异情况</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实际建设满足计划建设且能超出</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746202">
            <w:pPr>
              <w:widowControl/>
              <w:jc w:val="center"/>
              <w:rPr>
                <w:rFonts w:ascii="宋体" w:cs="宋体"/>
                <w:color w:val="000000"/>
                <w:kern w:val="0"/>
                <w:sz w:val="22"/>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746202">
            <w:pPr>
              <w:widowControl/>
              <w:jc w:val="center"/>
              <w:rPr>
                <w:rFonts w:ascii="宋体" w:cs="宋体"/>
                <w:color w:val="000000"/>
                <w:kern w:val="0"/>
                <w:sz w:val="22"/>
              </w:rPr>
            </w:pP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效益指标</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经济效益指标</w:t>
            </w:r>
          </w:p>
        </w:tc>
        <w:tc>
          <w:tcPr>
            <w:tcW w:w="45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减少经济损失</w:t>
            </w:r>
          </w:p>
        </w:tc>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事故总量与上年相比有所下降，间接或直接减少经济损失</w:t>
            </w:r>
          </w:p>
        </w:tc>
        <w:tc>
          <w:tcPr>
            <w:tcW w:w="175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项目暂未完成，无法给出实际经济效益。</w:t>
            </w:r>
          </w:p>
        </w:tc>
        <w:tc>
          <w:tcPr>
            <w:tcW w:w="24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6202" w:rsidRDefault="00746202">
            <w:pPr>
              <w:widowControl/>
              <w:jc w:val="center"/>
              <w:rPr>
                <w:rFonts w:ascii="宋体" w:cs="宋体"/>
                <w:color w:val="000000"/>
                <w:kern w:val="0"/>
                <w:sz w:val="22"/>
              </w:rPr>
            </w:pP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tcBorders>
              <w:top w:val="nil"/>
              <w:left w:val="single" w:sz="4" w:space="0" w:color="auto"/>
              <w:bottom w:val="single" w:sz="4" w:space="0" w:color="auto"/>
              <w:right w:val="single" w:sz="4" w:space="0" w:color="auto"/>
            </w:tcBorders>
            <w:vAlign w:val="center"/>
          </w:tcPr>
          <w:p w:rsidR="00746202" w:rsidRDefault="00746202"/>
        </w:tc>
        <w:tc>
          <w:tcPr>
            <w:tcW w:w="4542" w:type="dxa"/>
            <w:gridSpan w:val="2"/>
            <w:vMerge/>
            <w:tcBorders>
              <w:top w:val="single" w:sz="4" w:space="0" w:color="auto"/>
              <w:left w:val="single" w:sz="4" w:space="0" w:color="auto"/>
              <w:bottom w:val="single" w:sz="4" w:space="0" w:color="000000"/>
              <w:right w:val="single" w:sz="4" w:space="0" w:color="000000"/>
            </w:tcBorders>
            <w:vAlign w:val="center"/>
          </w:tcPr>
          <w:p w:rsidR="00746202" w:rsidRDefault="00746202"/>
        </w:tc>
        <w:tc>
          <w:tcPr>
            <w:tcW w:w="1855" w:type="dxa"/>
            <w:vMerge/>
            <w:tcBorders>
              <w:top w:val="nil"/>
              <w:left w:val="single" w:sz="4" w:space="0" w:color="auto"/>
              <w:bottom w:val="single" w:sz="4" w:space="0" w:color="000000"/>
              <w:right w:val="single" w:sz="4" w:space="0" w:color="auto"/>
            </w:tcBorders>
            <w:vAlign w:val="center"/>
          </w:tcPr>
          <w:p w:rsidR="00746202" w:rsidRDefault="00746202"/>
        </w:tc>
        <w:tc>
          <w:tcPr>
            <w:tcW w:w="1756" w:type="dxa"/>
            <w:vMerge/>
            <w:tcBorders>
              <w:top w:val="nil"/>
              <w:left w:val="single" w:sz="4" w:space="0" w:color="auto"/>
              <w:bottom w:val="single" w:sz="4" w:space="0" w:color="000000"/>
              <w:right w:val="single" w:sz="4" w:space="0" w:color="auto"/>
            </w:tcBorders>
            <w:vAlign w:val="center"/>
          </w:tcPr>
          <w:p w:rsidR="00746202" w:rsidRDefault="00746202"/>
        </w:tc>
        <w:tc>
          <w:tcPr>
            <w:tcW w:w="2430" w:type="dxa"/>
            <w:vMerge/>
            <w:tcBorders>
              <w:top w:val="nil"/>
              <w:left w:val="single" w:sz="4" w:space="0" w:color="auto"/>
              <w:bottom w:val="single" w:sz="4" w:space="0" w:color="000000"/>
              <w:right w:val="single" w:sz="4" w:space="0" w:color="auto"/>
            </w:tcBorders>
            <w:vAlign w:val="center"/>
          </w:tcPr>
          <w:p w:rsidR="00746202" w:rsidRDefault="00746202"/>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tcBorders>
              <w:top w:val="nil"/>
              <w:left w:val="single" w:sz="4" w:space="0" w:color="auto"/>
              <w:bottom w:val="single" w:sz="4" w:space="0" w:color="auto"/>
              <w:right w:val="single" w:sz="4" w:space="0" w:color="auto"/>
            </w:tcBorders>
            <w:vAlign w:val="center"/>
          </w:tcPr>
          <w:p w:rsidR="00746202" w:rsidRDefault="00746202"/>
        </w:tc>
        <w:tc>
          <w:tcPr>
            <w:tcW w:w="4542" w:type="dxa"/>
            <w:gridSpan w:val="2"/>
            <w:vMerge/>
            <w:tcBorders>
              <w:top w:val="single" w:sz="4" w:space="0" w:color="auto"/>
              <w:left w:val="single" w:sz="4" w:space="0" w:color="auto"/>
              <w:bottom w:val="single" w:sz="4" w:space="0" w:color="000000"/>
              <w:right w:val="single" w:sz="4" w:space="0" w:color="000000"/>
            </w:tcBorders>
            <w:vAlign w:val="center"/>
          </w:tcPr>
          <w:p w:rsidR="00746202" w:rsidRDefault="00746202"/>
        </w:tc>
        <w:tc>
          <w:tcPr>
            <w:tcW w:w="1855" w:type="dxa"/>
            <w:vMerge/>
            <w:tcBorders>
              <w:top w:val="nil"/>
              <w:left w:val="single" w:sz="4" w:space="0" w:color="auto"/>
              <w:bottom w:val="single" w:sz="4" w:space="0" w:color="000000"/>
              <w:right w:val="single" w:sz="4" w:space="0" w:color="auto"/>
            </w:tcBorders>
            <w:vAlign w:val="center"/>
          </w:tcPr>
          <w:p w:rsidR="00746202" w:rsidRDefault="00746202"/>
        </w:tc>
        <w:tc>
          <w:tcPr>
            <w:tcW w:w="1756" w:type="dxa"/>
            <w:vMerge/>
            <w:tcBorders>
              <w:top w:val="nil"/>
              <w:left w:val="single" w:sz="4" w:space="0" w:color="auto"/>
              <w:bottom w:val="single" w:sz="4" w:space="0" w:color="000000"/>
              <w:right w:val="single" w:sz="4" w:space="0" w:color="auto"/>
            </w:tcBorders>
            <w:vAlign w:val="center"/>
          </w:tcPr>
          <w:p w:rsidR="00746202" w:rsidRDefault="00746202"/>
        </w:tc>
        <w:tc>
          <w:tcPr>
            <w:tcW w:w="2430" w:type="dxa"/>
            <w:vMerge/>
            <w:tcBorders>
              <w:top w:val="nil"/>
              <w:left w:val="single" w:sz="4" w:space="0" w:color="auto"/>
              <w:bottom w:val="single" w:sz="4" w:space="0" w:color="000000"/>
              <w:right w:val="single" w:sz="4" w:space="0" w:color="auto"/>
            </w:tcBorders>
            <w:vAlign w:val="center"/>
          </w:tcPr>
          <w:p w:rsidR="00746202" w:rsidRDefault="00746202"/>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val="restart"/>
            <w:tcBorders>
              <w:top w:val="nil"/>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社会效益指标</w:t>
            </w:r>
          </w:p>
        </w:tc>
        <w:tc>
          <w:tcPr>
            <w:tcW w:w="45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企业增强安全生产主体责任意识，通过信息化监管方式，提高企业防范安全生产事故的能力</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企业通过实施安全生产隐患排查</w:t>
            </w:r>
            <w:r>
              <w:rPr>
                <w:rFonts w:ascii="宋体" w:cs="宋体" w:hint="eastAsia"/>
                <w:color w:val="000000"/>
                <w:kern w:val="0"/>
                <w:sz w:val="22"/>
              </w:rPr>
              <w:lastRenderedPageBreak/>
              <w:t>系统，减少重特大安全生产事故的发生。</w:t>
            </w:r>
          </w:p>
        </w:tc>
        <w:tc>
          <w:tcPr>
            <w:tcW w:w="1756"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lastRenderedPageBreak/>
              <w:t>项目暂未完成，无法给出实际社</w:t>
            </w:r>
            <w:r>
              <w:rPr>
                <w:rFonts w:ascii="宋体" w:cs="宋体" w:hint="eastAsia"/>
                <w:color w:val="000000"/>
                <w:kern w:val="0"/>
                <w:sz w:val="22"/>
              </w:rPr>
              <w:lastRenderedPageBreak/>
              <w:t>会效益。</w:t>
            </w:r>
          </w:p>
        </w:tc>
        <w:tc>
          <w:tcPr>
            <w:tcW w:w="2430"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746202">
            <w:pPr>
              <w:widowControl/>
              <w:jc w:val="center"/>
              <w:rPr>
                <w:rFonts w:ascii="宋体" w:cs="宋体"/>
                <w:color w:val="000000"/>
                <w:kern w:val="0"/>
                <w:sz w:val="22"/>
              </w:rPr>
            </w:pP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tcBorders>
              <w:top w:val="nil"/>
              <w:left w:val="single" w:sz="4" w:space="0" w:color="auto"/>
              <w:bottom w:val="single" w:sz="4" w:space="0" w:color="auto"/>
              <w:right w:val="single" w:sz="4" w:space="0" w:color="auto"/>
            </w:tcBorders>
            <w:vAlign w:val="center"/>
          </w:tcPr>
          <w:p w:rsidR="00746202" w:rsidRDefault="00746202"/>
        </w:tc>
        <w:tc>
          <w:tcPr>
            <w:tcW w:w="4542" w:type="dxa"/>
            <w:gridSpan w:val="2"/>
            <w:vMerge/>
            <w:tcBorders>
              <w:top w:val="single" w:sz="4" w:space="0" w:color="auto"/>
              <w:left w:val="single" w:sz="4" w:space="0" w:color="auto"/>
              <w:bottom w:val="single" w:sz="4" w:space="0" w:color="000000"/>
              <w:right w:val="single" w:sz="4" w:space="0" w:color="000000"/>
            </w:tcBorders>
            <w:vAlign w:val="center"/>
          </w:tcPr>
          <w:p w:rsidR="00746202" w:rsidRDefault="00746202"/>
        </w:tc>
        <w:tc>
          <w:tcPr>
            <w:tcW w:w="1855" w:type="dxa"/>
            <w:vMerge/>
            <w:tcBorders>
              <w:top w:val="nil"/>
              <w:left w:val="single" w:sz="4" w:space="0" w:color="auto"/>
              <w:bottom w:val="single" w:sz="4" w:space="0" w:color="000000"/>
              <w:right w:val="single" w:sz="4" w:space="0" w:color="auto"/>
            </w:tcBorders>
            <w:vAlign w:val="center"/>
          </w:tcPr>
          <w:p w:rsidR="00746202" w:rsidRDefault="00746202"/>
        </w:tc>
        <w:tc>
          <w:tcPr>
            <w:tcW w:w="1756" w:type="dxa"/>
            <w:vMerge/>
            <w:tcBorders>
              <w:top w:val="nil"/>
              <w:left w:val="single" w:sz="4" w:space="0" w:color="auto"/>
              <w:bottom w:val="single" w:sz="4" w:space="0" w:color="000000"/>
              <w:right w:val="single" w:sz="4" w:space="0" w:color="auto"/>
            </w:tcBorders>
            <w:vAlign w:val="center"/>
          </w:tcPr>
          <w:p w:rsidR="00746202" w:rsidRDefault="00746202"/>
        </w:tc>
        <w:tc>
          <w:tcPr>
            <w:tcW w:w="2430" w:type="dxa"/>
            <w:vMerge/>
            <w:tcBorders>
              <w:top w:val="nil"/>
              <w:left w:val="single" w:sz="4" w:space="0" w:color="auto"/>
              <w:bottom w:val="single" w:sz="4" w:space="0" w:color="000000"/>
              <w:right w:val="single" w:sz="4" w:space="0" w:color="auto"/>
            </w:tcBorders>
            <w:vAlign w:val="center"/>
          </w:tcPr>
          <w:p w:rsidR="00746202" w:rsidRDefault="00746202"/>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tcBorders>
              <w:top w:val="nil"/>
              <w:left w:val="single" w:sz="4" w:space="0" w:color="auto"/>
              <w:bottom w:val="single" w:sz="4" w:space="0" w:color="auto"/>
              <w:right w:val="single" w:sz="4" w:space="0" w:color="auto"/>
            </w:tcBorders>
            <w:vAlign w:val="center"/>
          </w:tcPr>
          <w:p w:rsidR="00746202" w:rsidRDefault="00746202"/>
        </w:tc>
        <w:tc>
          <w:tcPr>
            <w:tcW w:w="4542" w:type="dxa"/>
            <w:gridSpan w:val="2"/>
            <w:vMerge/>
            <w:tcBorders>
              <w:top w:val="single" w:sz="4" w:space="0" w:color="auto"/>
              <w:left w:val="single" w:sz="4" w:space="0" w:color="auto"/>
              <w:bottom w:val="single" w:sz="4" w:space="0" w:color="000000"/>
              <w:right w:val="single" w:sz="4" w:space="0" w:color="000000"/>
            </w:tcBorders>
            <w:vAlign w:val="center"/>
          </w:tcPr>
          <w:p w:rsidR="00746202" w:rsidRDefault="00746202"/>
        </w:tc>
        <w:tc>
          <w:tcPr>
            <w:tcW w:w="1855" w:type="dxa"/>
            <w:vMerge/>
            <w:tcBorders>
              <w:top w:val="nil"/>
              <w:left w:val="single" w:sz="4" w:space="0" w:color="auto"/>
              <w:bottom w:val="single" w:sz="4" w:space="0" w:color="000000"/>
              <w:right w:val="single" w:sz="4" w:space="0" w:color="auto"/>
            </w:tcBorders>
            <w:vAlign w:val="center"/>
          </w:tcPr>
          <w:p w:rsidR="00746202" w:rsidRDefault="00746202"/>
        </w:tc>
        <w:tc>
          <w:tcPr>
            <w:tcW w:w="1756" w:type="dxa"/>
            <w:vMerge/>
            <w:tcBorders>
              <w:top w:val="nil"/>
              <w:left w:val="single" w:sz="4" w:space="0" w:color="auto"/>
              <w:bottom w:val="single" w:sz="4" w:space="0" w:color="000000"/>
              <w:right w:val="single" w:sz="4" w:space="0" w:color="auto"/>
            </w:tcBorders>
            <w:vAlign w:val="center"/>
          </w:tcPr>
          <w:p w:rsidR="00746202" w:rsidRDefault="00746202"/>
        </w:tc>
        <w:tc>
          <w:tcPr>
            <w:tcW w:w="2430" w:type="dxa"/>
            <w:vMerge/>
            <w:tcBorders>
              <w:top w:val="nil"/>
              <w:left w:val="single" w:sz="4" w:space="0" w:color="auto"/>
              <w:bottom w:val="single" w:sz="4" w:space="0" w:color="000000"/>
              <w:right w:val="single" w:sz="4" w:space="0" w:color="auto"/>
            </w:tcBorders>
            <w:vAlign w:val="center"/>
          </w:tcPr>
          <w:p w:rsidR="00746202" w:rsidRDefault="00746202"/>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val="restart"/>
            <w:tcBorders>
              <w:top w:val="nil"/>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生态效益指标</w:t>
            </w:r>
          </w:p>
        </w:tc>
        <w:tc>
          <w:tcPr>
            <w:tcW w:w="45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不影响生态环境</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不影响生态环境</w:t>
            </w:r>
          </w:p>
        </w:tc>
        <w:tc>
          <w:tcPr>
            <w:tcW w:w="1756"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不影响生态环境</w:t>
            </w:r>
          </w:p>
        </w:tc>
        <w:tc>
          <w:tcPr>
            <w:tcW w:w="2430" w:type="dxa"/>
            <w:vMerge w:val="restart"/>
            <w:tcBorders>
              <w:top w:val="nil"/>
              <w:left w:val="single" w:sz="4" w:space="0" w:color="auto"/>
              <w:bottom w:val="single" w:sz="4" w:space="0" w:color="000000"/>
              <w:right w:val="single" w:sz="4" w:space="0" w:color="auto"/>
            </w:tcBorders>
            <w:shd w:val="clear" w:color="auto" w:fill="auto"/>
            <w:vAlign w:val="center"/>
          </w:tcPr>
          <w:p w:rsidR="00746202" w:rsidRDefault="00746202">
            <w:pPr>
              <w:widowControl/>
              <w:jc w:val="center"/>
              <w:rPr>
                <w:rFonts w:ascii="宋体" w:cs="宋体"/>
                <w:color w:val="000000"/>
                <w:kern w:val="0"/>
                <w:sz w:val="22"/>
              </w:rPr>
            </w:pPr>
          </w:p>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tcBorders>
              <w:top w:val="nil"/>
              <w:left w:val="single" w:sz="4" w:space="0" w:color="auto"/>
              <w:bottom w:val="single" w:sz="4" w:space="0" w:color="auto"/>
              <w:right w:val="single" w:sz="4" w:space="0" w:color="auto"/>
            </w:tcBorders>
            <w:vAlign w:val="center"/>
          </w:tcPr>
          <w:p w:rsidR="00746202" w:rsidRDefault="00746202"/>
        </w:tc>
        <w:tc>
          <w:tcPr>
            <w:tcW w:w="4542" w:type="dxa"/>
            <w:gridSpan w:val="2"/>
            <w:vMerge/>
            <w:tcBorders>
              <w:top w:val="single" w:sz="4" w:space="0" w:color="auto"/>
              <w:left w:val="single" w:sz="4" w:space="0" w:color="auto"/>
              <w:bottom w:val="single" w:sz="4" w:space="0" w:color="000000"/>
              <w:right w:val="single" w:sz="4" w:space="0" w:color="000000"/>
            </w:tcBorders>
            <w:vAlign w:val="center"/>
          </w:tcPr>
          <w:p w:rsidR="00746202" w:rsidRDefault="00746202"/>
        </w:tc>
        <w:tc>
          <w:tcPr>
            <w:tcW w:w="1855" w:type="dxa"/>
            <w:vMerge/>
            <w:tcBorders>
              <w:top w:val="nil"/>
              <w:left w:val="single" w:sz="4" w:space="0" w:color="auto"/>
              <w:bottom w:val="single" w:sz="4" w:space="0" w:color="000000"/>
              <w:right w:val="single" w:sz="4" w:space="0" w:color="auto"/>
            </w:tcBorders>
            <w:vAlign w:val="center"/>
          </w:tcPr>
          <w:p w:rsidR="00746202" w:rsidRDefault="00746202"/>
        </w:tc>
        <w:tc>
          <w:tcPr>
            <w:tcW w:w="1756" w:type="dxa"/>
            <w:vMerge/>
            <w:tcBorders>
              <w:top w:val="nil"/>
              <w:left w:val="single" w:sz="4" w:space="0" w:color="auto"/>
              <w:bottom w:val="single" w:sz="4" w:space="0" w:color="000000"/>
              <w:right w:val="single" w:sz="4" w:space="0" w:color="auto"/>
            </w:tcBorders>
            <w:vAlign w:val="center"/>
          </w:tcPr>
          <w:p w:rsidR="00746202" w:rsidRDefault="00746202"/>
        </w:tc>
        <w:tc>
          <w:tcPr>
            <w:tcW w:w="2430" w:type="dxa"/>
            <w:vMerge/>
            <w:tcBorders>
              <w:top w:val="nil"/>
              <w:left w:val="single" w:sz="4" w:space="0" w:color="auto"/>
              <w:bottom w:val="single" w:sz="4" w:space="0" w:color="000000"/>
              <w:right w:val="single" w:sz="4" w:space="0" w:color="auto"/>
            </w:tcBorders>
            <w:vAlign w:val="center"/>
          </w:tcPr>
          <w:p w:rsidR="00746202" w:rsidRDefault="00746202"/>
        </w:tc>
      </w:tr>
      <w:tr w:rsidR="00746202">
        <w:trPr>
          <w:cantSplit/>
          <w:trHeight w:val="312"/>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tcBorders>
              <w:top w:val="nil"/>
              <w:left w:val="single" w:sz="4" w:space="0" w:color="auto"/>
              <w:bottom w:val="single" w:sz="4" w:space="0" w:color="auto"/>
              <w:right w:val="single" w:sz="4" w:space="0" w:color="auto"/>
            </w:tcBorders>
            <w:vAlign w:val="center"/>
          </w:tcPr>
          <w:p w:rsidR="00746202" w:rsidRDefault="00746202"/>
        </w:tc>
        <w:tc>
          <w:tcPr>
            <w:tcW w:w="4542" w:type="dxa"/>
            <w:gridSpan w:val="2"/>
            <w:vMerge/>
            <w:tcBorders>
              <w:top w:val="single" w:sz="4" w:space="0" w:color="auto"/>
              <w:left w:val="single" w:sz="4" w:space="0" w:color="auto"/>
              <w:bottom w:val="single" w:sz="4" w:space="0" w:color="auto"/>
              <w:right w:val="single" w:sz="4" w:space="0" w:color="000000"/>
            </w:tcBorders>
            <w:vAlign w:val="center"/>
          </w:tcPr>
          <w:p w:rsidR="00746202" w:rsidRDefault="00746202"/>
        </w:tc>
        <w:tc>
          <w:tcPr>
            <w:tcW w:w="1855" w:type="dxa"/>
            <w:vMerge/>
            <w:tcBorders>
              <w:top w:val="nil"/>
              <w:left w:val="single" w:sz="4" w:space="0" w:color="auto"/>
              <w:bottom w:val="single" w:sz="4" w:space="0" w:color="auto"/>
              <w:right w:val="single" w:sz="4" w:space="0" w:color="auto"/>
            </w:tcBorders>
            <w:vAlign w:val="center"/>
          </w:tcPr>
          <w:p w:rsidR="00746202" w:rsidRDefault="00746202"/>
        </w:tc>
        <w:tc>
          <w:tcPr>
            <w:tcW w:w="1756" w:type="dxa"/>
            <w:vMerge/>
            <w:tcBorders>
              <w:top w:val="nil"/>
              <w:left w:val="single" w:sz="4" w:space="0" w:color="auto"/>
              <w:bottom w:val="single" w:sz="4" w:space="0" w:color="auto"/>
              <w:right w:val="single" w:sz="4" w:space="0" w:color="auto"/>
            </w:tcBorders>
            <w:vAlign w:val="center"/>
          </w:tcPr>
          <w:p w:rsidR="00746202" w:rsidRDefault="00746202"/>
        </w:tc>
        <w:tc>
          <w:tcPr>
            <w:tcW w:w="2430" w:type="dxa"/>
            <w:vMerge/>
            <w:tcBorders>
              <w:top w:val="nil"/>
              <w:left w:val="single" w:sz="4" w:space="0" w:color="auto"/>
              <w:bottom w:val="single" w:sz="4" w:space="0" w:color="000000"/>
              <w:right w:val="single" w:sz="4" w:space="0" w:color="auto"/>
            </w:tcBorders>
            <w:vAlign w:val="center"/>
          </w:tcPr>
          <w:p w:rsidR="00746202" w:rsidRDefault="00746202"/>
        </w:tc>
      </w:tr>
      <w:tr w:rsidR="00746202">
        <w:trPr>
          <w:cantSplit/>
          <w:trHeight w:val="1278"/>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可持续影响指标</w:t>
            </w:r>
          </w:p>
        </w:tc>
        <w:tc>
          <w:tcPr>
            <w:tcW w:w="4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项目具有可持续发展能力</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项目具有可持续发展能力</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项目具有可持续发展能力</w:t>
            </w:r>
          </w:p>
        </w:tc>
        <w:tc>
          <w:tcPr>
            <w:tcW w:w="2430" w:type="dxa"/>
            <w:tcBorders>
              <w:top w:val="nil"/>
              <w:left w:val="single" w:sz="4" w:space="0" w:color="auto"/>
              <w:right w:val="single" w:sz="4" w:space="0" w:color="auto"/>
            </w:tcBorders>
            <w:shd w:val="clear" w:color="auto" w:fill="auto"/>
            <w:vAlign w:val="center"/>
          </w:tcPr>
          <w:p w:rsidR="00746202" w:rsidRDefault="00746202">
            <w:pPr>
              <w:widowControl/>
              <w:jc w:val="center"/>
              <w:rPr>
                <w:rFonts w:ascii="宋体" w:cs="宋体"/>
                <w:color w:val="000000"/>
                <w:kern w:val="0"/>
                <w:sz w:val="22"/>
              </w:rPr>
            </w:pPr>
          </w:p>
        </w:tc>
      </w:tr>
      <w:tr w:rsidR="00746202">
        <w:trPr>
          <w:cantSplit/>
          <w:trHeight w:val="20"/>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val="restart"/>
            <w:tcBorders>
              <w:top w:val="nil"/>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满意度指标</w:t>
            </w:r>
          </w:p>
        </w:tc>
        <w:tc>
          <w:tcPr>
            <w:tcW w:w="1096" w:type="dxa"/>
            <w:vMerge w:val="restart"/>
            <w:tcBorders>
              <w:top w:val="single" w:sz="4" w:space="0" w:color="auto"/>
              <w:left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服务对象满意度指标</w:t>
            </w:r>
          </w:p>
        </w:tc>
        <w:tc>
          <w:tcPr>
            <w:tcW w:w="4542" w:type="dxa"/>
            <w:gridSpan w:val="2"/>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各设区市、县区对全省安全生产信息化总体建设方案指导的满意度</w:t>
            </w: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各设区市、县区对全省安全生产信息化总体建设方案指导的满意度</w:t>
            </w:r>
            <w:r>
              <w:rPr>
                <w:rFonts w:ascii="宋体" w:cs="宋体" w:hint="eastAsia"/>
                <w:color w:val="000000"/>
                <w:kern w:val="0"/>
                <w:sz w:val="22"/>
              </w:rPr>
              <w:t>90%</w:t>
            </w:r>
          </w:p>
        </w:tc>
        <w:tc>
          <w:tcPr>
            <w:tcW w:w="1756" w:type="dxa"/>
            <w:tcBorders>
              <w:top w:val="single" w:sz="4" w:space="0" w:color="auto"/>
              <w:left w:val="nil"/>
              <w:bottom w:val="single" w:sz="4" w:space="0" w:color="auto"/>
              <w:right w:val="nil"/>
            </w:tcBorders>
            <w:shd w:val="clear" w:color="auto" w:fill="auto"/>
            <w:vAlign w:val="center"/>
          </w:tcPr>
          <w:p w:rsidR="00746202" w:rsidRDefault="0020726F">
            <w:pPr>
              <w:widowControl/>
              <w:rPr>
                <w:rFonts w:ascii="宋体" w:cs="宋体"/>
                <w:color w:val="000000"/>
                <w:kern w:val="0"/>
                <w:sz w:val="22"/>
              </w:rPr>
            </w:pPr>
            <w:r>
              <w:rPr>
                <w:rFonts w:ascii="宋体" w:cs="宋体" w:hint="eastAsia"/>
                <w:color w:val="000000"/>
                <w:kern w:val="0"/>
                <w:sz w:val="22"/>
              </w:rPr>
              <w:t>项目暂未完成，</w:t>
            </w:r>
          </w:p>
          <w:p w:rsidR="00746202" w:rsidRDefault="0020726F">
            <w:pPr>
              <w:widowControl/>
              <w:rPr>
                <w:rFonts w:ascii="宋体" w:cs="宋体"/>
                <w:color w:val="000000"/>
                <w:kern w:val="0"/>
                <w:sz w:val="22"/>
              </w:rPr>
            </w:pPr>
            <w:r>
              <w:rPr>
                <w:rFonts w:ascii="宋体" w:cs="宋体" w:hint="eastAsia"/>
                <w:color w:val="000000"/>
                <w:kern w:val="0"/>
                <w:sz w:val="22"/>
              </w:rPr>
              <w:t>无法给出满意度</w:t>
            </w:r>
          </w:p>
          <w:p w:rsidR="00746202" w:rsidRDefault="0020726F">
            <w:pPr>
              <w:widowControl/>
              <w:rPr>
                <w:rFonts w:ascii="宋体" w:cs="宋体"/>
                <w:color w:val="000000"/>
                <w:kern w:val="0"/>
                <w:sz w:val="22"/>
              </w:rPr>
            </w:pPr>
            <w:r>
              <w:rPr>
                <w:rFonts w:ascii="宋体" w:cs="宋体" w:hint="eastAsia"/>
                <w:color w:val="000000"/>
                <w:kern w:val="0"/>
                <w:sz w:val="22"/>
              </w:rPr>
              <w:t>指标。</w:t>
            </w:r>
          </w:p>
        </w:tc>
        <w:tc>
          <w:tcPr>
            <w:tcW w:w="2430" w:type="dxa"/>
            <w:tcBorders>
              <w:top w:val="nil"/>
              <w:left w:val="single" w:sz="4" w:space="0" w:color="auto"/>
              <w:bottom w:val="single" w:sz="4" w:space="0" w:color="auto"/>
              <w:right w:val="single" w:sz="4" w:space="0" w:color="auto"/>
            </w:tcBorders>
            <w:shd w:val="clear" w:color="auto" w:fill="auto"/>
            <w:vAlign w:val="center"/>
          </w:tcPr>
          <w:p w:rsidR="00746202" w:rsidRDefault="00746202">
            <w:pPr>
              <w:widowControl/>
              <w:jc w:val="left"/>
              <w:rPr>
                <w:rFonts w:ascii="宋体" w:cs="宋体"/>
                <w:color w:val="000000"/>
                <w:kern w:val="0"/>
                <w:sz w:val="22"/>
              </w:rPr>
            </w:pPr>
          </w:p>
        </w:tc>
      </w:tr>
      <w:tr w:rsidR="00746202">
        <w:trPr>
          <w:cantSplit/>
          <w:trHeight w:val="956"/>
        </w:trPr>
        <w:tc>
          <w:tcPr>
            <w:tcW w:w="1134" w:type="dxa"/>
            <w:vMerge/>
            <w:tcBorders>
              <w:top w:val="nil"/>
              <w:left w:val="single" w:sz="4" w:space="0" w:color="auto"/>
              <w:bottom w:val="single" w:sz="4" w:space="0" w:color="auto"/>
              <w:right w:val="single" w:sz="4" w:space="0" w:color="auto"/>
            </w:tcBorders>
            <w:vAlign w:val="center"/>
          </w:tcPr>
          <w:p w:rsidR="00746202" w:rsidRDefault="00746202"/>
        </w:tc>
        <w:tc>
          <w:tcPr>
            <w:tcW w:w="1135" w:type="dxa"/>
            <w:vMerge/>
            <w:tcBorders>
              <w:top w:val="nil"/>
              <w:left w:val="single" w:sz="4" w:space="0" w:color="auto"/>
              <w:bottom w:val="single" w:sz="4" w:space="0" w:color="auto"/>
              <w:right w:val="single" w:sz="4" w:space="0" w:color="auto"/>
            </w:tcBorders>
            <w:vAlign w:val="center"/>
          </w:tcPr>
          <w:p w:rsidR="00746202" w:rsidRDefault="00746202"/>
        </w:tc>
        <w:tc>
          <w:tcPr>
            <w:tcW w:w="1096" w:type="dxa"/>
            <w:vMerge/>
            <w:tcBorders>
              <w:left w:val="single" w:sz="4" w:space="0" w:color="auto"/>
              <w:right w:val="single" w:sz="4" w:space="0" w:color="auto"/>
            </w:tcBorders>
            <w:vAlign w:val="center"/>
          </w:tcPr>
          <w:p w:rsidR="00746202" w:rsidRDefault="00746202"/>
        </w:tc>
        <w:tc>
          <w:tcPr>
            <w:tcW w:w="4542" w:type="dxa"/>
            <w:gridSpan w:val="2"/>
            <w:tcBorders>
              <w:top w:val="single" w:sz="4" w:space="0" w:color="auto"/>
              <w:left w:val="single" w:sz="4" w:space="0" w:color="auto"/>
              <w:right w:val="single" w:sz="4" w:space="0" w:color="000000"/>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企业对风险分级管控和隐患排查治理双重预防机制的信息化系统使用的满意度</w:t>
            </w:r>
          </w:p>
        </w:tc>
        <w:tc>
          <w:tcPr>
            <w:tcW w:w="1855" w:type="dxa"/>
            <w:tcBorders>
              <w:top w:val="single" w:sz="4" w:space="0" w:color="auto"/>
              <w:left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接入安全生产隐患排查系统的企业满意度</w:t>
            </w:r>
            <w:r>
              <w:rPr>
                <w:rFonts w:ascii="宋体" w:cs="宋体" w:hint="eastAsia"/>
                <w:color w:val="000000"/>
                <w:kern w:val="0"/>
                <w:sz w:val="22"/>
              </w:rPr>
              <w:t>90%</w:t>
            </w:r>
          </w:p>
        </w:tc>
        <w:tc>
          <w:tcPr>
            <w:tcW w:w="1756" w:type="dxa"/>
            <w:tcBorders>
              <w:top w:val="single" w:sz="4" w:space="0" w:color="auto"/>
              <w:left w:val="single" w:sz="4" w:space="0" w:color="auto"/>
              <w:right w:val="single" w:sz="4" w:space="0" w:color="auto"/>
            </w:tcBorders>
            <w:shd w:val="clear" w:color="auto" w:fill="auto"/>
            <w:vAlign w:val="center"/>
          </w:tcPr>
          <w:p w:rsidR="00746202" w:rsidRDefault="0020726F">
            <w:pPr>
              <w:widowControl/>
              <w:rPr>
                <w:rFonts w:ascii="宋体" w:cs="宋体"/>
                <w:color w:val="000000"/>
                <w:kern w:val="0"/>
                <w:sz w:val="22"/>
              </w:rPr>
            </w:pPr>
            <w:r>
              <w:rPr>
                <w:rFonts w:ascii="宋体" w:cs="宋体" w:hint="eastAsia"/>
                <w:color w:val="000000"/>
                <w:kern w:val="0"/>
                <w:sz w:val="22"/>
              </w:rPr>
              <w:t>项目暂未完成，</w:t>
            </w:r>
          </w:p>
          <w:p w:rsidR="00746202" w:rsidRDefault="0020726F">
            <w:pPr>
              <w:widowControl/>
              <w:rPr>
                <w:rFonts w:ascii="宋体" w:cs="宋体"/>
                <w:color w:val="000000"/>
                <w:kern w:val="0"/>
                <w:sz w:val="22"/>
              </w:rPr>
            </w:pPr>
            <w:r>
              <w:rPr>
                <w:rFonts w:ascii="宋体" w:cs="宋体" w:hint="eastAsia"/>
                <w:color w:val="000000"/>
                <w:kern w:val="0"/>
                <w:sz w:val="22"/>
              </w:rPr>
              <w:t>无法给出满意度</w:t>
            </w:r>
          </w:p>
          <w:p w:rsidR="00746202" w:rsidRDefault="0020726F">
            <w:pPr>
              <w:widowControl/>
              <w:rPr>
                <w:rFonts w:ascii="宋体" w:cs="宋体"/>
                <w:color w:val="000000"/>
                <w:kern w:val="0"/>
                <w:sz w:val="22"/>
              </w:rPr>
            </w:pPr>
            <w:r>
              <w:rPr>
                <w:rFonts w:ascii="宋体" w:cs="宋体" w:hint="eastAsia"/>
                <w:color w:val="000000"/>
                <w:kern w:val="0"/>
                <w:sz w:val="22"/>
              </w:rPr>
              <w:t>指标。</w:t>
            </w:r>
          </w:p>
        </w:tc>
        <w:tc>
          <w:tcPr>
            <w:tcW w:w="2430" w:type="dxa"/>
            <w:tcBorders>
              <w:top w:val="nil"/>
              <w:left w:val="nil"/>
              <w:right w:val="single" w:sz="4" w:space="0" w:color="auto"/>
            </w:tcBorders>
            <w:shd w:val="clear" w:color="auto" w:fill="auto"/>
            <w:vAlign w:val="center"/>
          </w:tcPr>
          <w:p w:rsidR="00746202" w:rsidRDefault="00746202">
            <w:pPr>
              <w:widowControl/>
              <w:jc w:val="left"/>
              <w:rPr>
                <w:rFonts w:ascii="宋体" w:cs="宋体"/>
                <w:color w:val="000000"/>
                <w:kern w:val="0"/>
                <w:sz w:val="22"/>
              </w:rPr>
            </w:pPr>
          </w:p>
        </w:tc>
      </w:tr>
      <w:tr w:rsidR="00746202">
        <w:trPr>
          <w:cantSplit/>
          <w:trHeight w:val="20"/>
        </w:trPr>
        <w:tc>
          <w:tcPr>
            <w:tcW w:w="1134" w:type="dxa"/>
            <w:tcBorders>
              <w:top w:val="nil"/>
              <w:left w:val="single" w:sz="4" w:space="0" w:color="auto"/>
              <w:bottom w:val="single" w:sz="4" w:space="0" w:color="auto"/>
              <w:right w:val="single" w:sz="4" w:space="0" w:color="auto"/>
            </w:tcBorders>
            <w:shd w:val="clear" w:color="auto" w:fill="auto"/>
            <w:vAlign w:val="center"/>
          </w:tcPr>
          <w:p w:rsidR="00746202" w:rsidRDefault="0020726F">
            <w:pPr>
              <w:widowControl/>
              <w:jc w:val="left"/>
              <w:rPr>
                <w:rFonts w:ascii="宋体" w:cs="宋体"/>
                <w:color w:val="000000"/>
                <w:kern w:val="0"/>
                <w:sz w:val="22"/>
              </w:rPr>
            </w:pPr>
            <w:r>
              <w:rPr>
                <w:rFonts w:ascii="宋体" w:cs="宋体" w:hint="eastAsia"/>
                <w:color w:val="000000"/>
                <w:kern w:val="0"/>
                <w:sz w:val="22"/>
              </w:rPr>
              <w:t>说明</w:t>
            </w:r>
          </w:p>
        </w:tc>
        <w:tc>
          <w:tcPr>
            <w:tcW w:w="12814" w:type="dxa"/>
            <w:gridSpan w:val="7"/>
            <w:tcBorders>
              <w:top w:val="single" w:sz="4" w:space="0" w:color="auto"/>
              <w:left w:val="nil"/>
              <w:bottom w:val="single" w:sz="4" w:space="0" w:color="auto"/>
              <w:right w:val="single" w:sz="4" w:space="0" w:color="auto"/>
            </w:tcBorders>
            <w:shd w:val="clear" w:color="auto" w:fill="auto"/>
            <w:vAlign w:val="center"/>
          </w:tcPr>
          <w:p w:rsidR="00746202" w:rsidRDefault="0020726F">
            <w:pPr>
              <w:widowControl/>
              <w:jc w:val="center"/>
              <w:rPr>
                <w:rFonts w:ascii="宋体" w:cs="宋体"/>
                <w:color w:val="000000"/>
                <w:kern w:val="0"/>
                <w:sz w:val="22"/>
              </w:rPr>
            </w:pPr>
            <w:r>
              <w:rPr>
                <w:rFonts w:ascii="宋体" w:cs="宋体" w:hint="eastAsia"/>
                <w:color w:val="000000"/>
                <w:kern w:val="0"/>
                <w:sz w:val="22"/>
              </w:rPr>
              <w:t>无</w:t>
            </w:r>
          </w:p>
        </w:tc>
      </w:tr>
    </w:tbl>
    <w:p w:rsidR="00746202" w:rsidRDefault="00746202">
      <w:pPr>
        <w:spacing w:line="600" w:lineRule="exact"/>
        <w:ind w:firstLine="420"/>
        <w:rPr>
          <w:rFonts w:ascii="仿宋_GB2312" w:eastAsia="仿宋_GB2312"/>
          <w:sz w:val="32"/>
          <w:szCs w:val="32"/>
        </w:rPr>
      </w:pPr>
    </w:p>
    <w:sectPr w:rsidR="0074620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26F" w:rsidRDefault="0020726F" w:rsidP="00FE3454">
      <w:r>
        <w:separator/>
      </w:r>
    </w:p>
  </w:endnote>
  <w:endnote w:type="continuationSeparator" w:id="0">
    <w:p w:rsidR="0020726F" w:rsidRDefault="0020726F" w:rsidP="00FE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仿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26F" w:rsidRDefault="0020726F" w:rsidP="00FE3454">
      <w:r>
        <w:separator/>
      </w:r>
    </w:p>
  </w:footnote>
  <w:footnote w:type="continuationSeparator" w:id="0">
    <w:p w:rsidR="0020726F" w:rsidRDefault="0020726F" w:rsidP="00FE3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6307"/>
    <w:multiLevelType w:val="multilevel"/>
    <w:tmpl w:val="08456307"/>
    <w:lvl w:ilvl="0">
      <w:start w:val="1"/>
      <w:numFmt w:val="bullet"/>
      <w:lvlRestart w:val="0"/>
      <w:lvlText w:val=""/>
      <w:lvlJc w:val="left"/>
      <w:pPr>
        <w:tabs>
          <w:tab w:val="num" w:pos="0"/>
        </w:tabs>
        <w:ind w:left="840" w:hanging="420"/>
      </w:pPr>
      <w:rPr>
        <w:rFonts w:ascii="Wingdings" w:hAnsi="Wingdings" w:hint="default"/>
      </w:rPr>
    </w:lvl>
    <w:lvl w:ilvl="1">
      <w:start w:val="1"/>
      <w:numFmt w:val="bullet"/>
      <w:lvlText w:val=""/>
      <w:lvlJc w:val="left"/>
      <w:pPr>
        <w:tabs>
          <w:tab w:val="num" w:pos="0"/>
        </w:tabs>
        <w:ind w:left="1260" w:hanging="420"/>
      </w:pPr>
      <w:rPr>
        <w:rFonts w:ascii="Wingdings" w:hAnsi="Wingdings" w:hint="default"/>
      </w:rPr>
    </w:lvl>
    <w:lvl w:ilvl="2">
      <w:start w:val="1"/>
      <w:numFmt w:val="bullet"/>
      <w:lvlText w:val=""/>
      <w:lvlJc w:val="left"/>
      <w:pPr>
        <w:tabs>
          <w:tab w:val="num" w:pos="0"/>
        </w:tabs>
        <w:ind w:left="1680" w:hanging="420"/>
      </w:pPr>
      <w:rPr>
        <w:rFonts w:ascii="Wingdings" w:hAnsi="Wingdings" w:hint="default"/>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abstractNum w:abstractNumId="1">
    <w:nsid w:val="7442505E"/>
    <w:multiLevelType w:val="multilevel"/>
    <w:tmpl w:val="7442505E"/>
    <w:lvl w:ilvl="0">
      <w:start w:val="1"/>
      <w:numFmt w:val="bullet"/>
      <w:lvlRestart w:val="0"/>
      <w:lvlText w:val=""/>
      <w:lvlJc w:val="left"/>
      <w:pPr>
        <w:tabs>
          <w:tab w:val="num" w:pos="0"/>
        </w:tabs>
        <w:ind w:left="840" w:hanging="420"/>
      </w:pPr>
      <w:rPr>
        <w:rFonts w:ascii="Wingdings" w:hAnsi="Wingdings" w:hint="default"/>
      </w:rPr>
    </w:lvl>
    <w:lvl w:ilvl="1">
      <w:start w:val="1"/>
      <w:numFmt w:val="bullet"/>
      <w:lvlText w:val=""/>
      <w:lvlJc w:val="left"/>
      <w:pPr>
        <w:tabs>
          <w:tab w:val="num" w:pos="0"/>
        </w:tabs>
        <w:ind w:left="1260" w:hanging="420"/>
      </w:pPr>
      <w:rPr>
        <w:rFonts w:ascii="Wingdings" w:hAnsi="Wingdings" w:hint="default"/>
      </w:rPr>
    </w:lvl>
    <w:lvl w:ilvl="2">
      <w:start w:val="1"/>
      <w:numFmt w:val="bullet"/>
      <w:lvlText w:val=""/>
      <w:lvlJc w:val="left"/>
      <w:pPr>
        <w:tabs>
          <w:tab w:val="num" w:pos="0"/>
        </w:tabs>
        <w:ind w:left="1680" w:hanging="420"/>
      </w:pPr>
      <w:rPr>
        <w:rFonts w:ascii="Wingdings" w:hAnsi="Wingdings" w:hint="default"/>
      </w:rPr>
    </w:lvl>
    <w:lvl w:ilvl="3">
      <w:start w:val="1"/>
      <w:numFmt w:val="bullet"/>
      <w:lvlText w:val=""/>
      <w:lvlJc w:val="left"/>
      <w:pPr>
        <w:tabs>
          <w:tab w:val="num" w:pos="0"/>
        </w:tabs>
        <w:ind w:left="2100" w:hanging="420"/>
      </w:pPr>
      <w:rPr>
        <w:rFonts w:ascii="Wingdings" w:hAnsi="Wingdings" w:hint="default"/>
      </w:rPr>
    </w:lvl>
    <w:lvl w:ilvl="4">
      <w:start w:val="1"/>
      <w:numFmt w:val="bullet"/>
      <w:lvlText w:val=""/>
      <w:lvlJc w:val="left"/>
      <w:pPr>
        <w:tabs>
          <w:tab w:val="num" w:pos="0"/>
        </w:tabs>
        <w:ind w:left="2520" w:hanging="420"/>
      </w:pPr>
      <w:rPr>
        <w:rFonts w:ascii="Wingdings" w:hAnsi="Wingdings" w:hint="default"/>
      </w:rPr>
    </w:lvl>
    <w:lvl w:ilvl="5">
      <w:start w:val="1"/>
      <w:numFmt w:val="bullet"/>
      <w:lvlText w:val=""/>
      <w:lvlJc w:val="left"/>
      <w:pPr>
        <w:tabs>
          <w:tab w:val="num" w:pos="0"/>
        </w:tabs>
        <w:ind w:left="2940" w:hanging="420"/>
      </w:pPr>
      <w:rPr>
        <w:rFonts w:ascii="Wingdings" w:hAnsi="Wingdings" w:hint="default"/>
      </w:rPr>
    </w:lvl>
    <w:lvl w:ilvl="6">
      <w:start w:val="1"/>
      <w:numFmt w:val="bullet"/>
      <w:lvlText w:val=""/>
      <w:lvlJc w:val="left"/>
      <w:pPr>
        <w:tabs>
          <w:tab w:val="num" w:pos="0"/>
        </w:tabs>
        <w:ind w:left="3360" w:hanging="420"/>
      </w:pPr>
      <w:rPr>
        <w:rFonts w:ascii="Wingdings" w:hAnsi="Wingdings" w:hint="default"/>
      </w:rPr>
    </w:lvl>
    <w:lvl w:ilvl="7">
      <w:start w:val="1"/>
      <w:numFmt w:val="bullet"/>
      <w:lvlText w:val=""/>
      <w:lvlJc w:val="left"/>
      <w:pPr>
        <w:tabs>
          <w:tab w:val="num" w:pos="0"/>
        </w:tabs>
        <w:ind w:left="3780" w:hanging="420"/>
      </w:pPr>
      <w:rPr>
        <w:rFonts w:ascii="Wingdings" w:hAnsi="Wingdings" w:hint="default"/>
      </w:rPr>
    </w:lvl>
    <w:lvl w:ilvl="8">
      <w:start w:val="1"/>
      <w:numFmt w:val="bullet"/>
      <w:lvlText w:val=""/>
      <w:lvlJc w:val="left"/>
      <w:pPr>
        <w:tabs>
          <w:tab w:val="num" w:pos="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746202"/>
    <w:rsid w:val="0020726F"/>
    <w:rsid w:val="00746202"/>
    <w:rsid w:val="00FE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pPr>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 志萍</dc:creator>
  <cp:lastModifiedBy>admin</cp:lastModifiedBy>
  <cp:revision>26</cp:revision>
  <cp:lastPrinted>2018-04-23T01:53:00Z</cp:lastPrinted>
  <dcterms:created xsi:type="dcterms:W3CDTF">2018-04-15T02:58:00Z</dcterms:created>
  <dcterms:modified xsi:type="dcterms:W3CDTF">2018-05-04T12:09:00Z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