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after="0" w:line="600" w:lineRule="exact"/>
        <w:jc w:val="center"/>
        <w:rPr>
          <w:rFonts w:hint="eastAsia" w:ascii="方正小标宋_GBK" w:hAnsi="方正小标宋_GBK" w:eastAsia="方正小标宋_GBK" w:cs="方正小标宋_GBK"/>
          <w:b w:val="0"/>
          <w:bCs w:val="0"/>
          <w:kern w:val="0"/>
          <w:sz w:val="44"/>
          <w:szCs w:val="44"/>
        </w:rPr>
      </w:pPr>
      <w:r>
        <w:rPr>
          <w:rFonts w:hint="eastAsia" w:ascii="方正小标宋_GBK" w:hAnsi="方正小标宋_GBK" w:eastAsia="方正小标宋_GBK" w:cs="方正小标宋_GBK"/>
          <w:b w:val="0"/>
          <w:bCs w:val="0"/>
          <w:kern w:val="0"/>
          <w:sz w:val="44"/>
          <w:szCs w:val="44"/>
        </w:rPr>
        <w:t>福建省应急管理厅办公环境绿化保障</w:t>
      </w:r>
    </w:p>
    <w:p>
      <w:pPr>
        <w:keepNext w:val="0"/>
        <w:keepLines w:val="0"/>
        <w:pageBreakBefore w:val="0"/>
        <w:widowControl/>
        <w:kinsoku/>
        <w:wordWrap/>
        <w:overflowPunct/>
        <w:topLinePunct w:val="0"/>
        <w:autoSpaceDE/>
        <w:autoSpaceDN/>
        <w:bidi w:val="0"/>
        <w:adjustRightInd/>
        <w:snapToGrid/>
        <w:spacing w:after="0" w:line="600" w:lineRule="exact"/>
        <w:jc w:val="center"/>
        <w:rPr>
          <w:rFonts w:hint="eastAsia" w:ascii="方正小标宋_GBK" w:hAnsi="方正小标宋_GBK" w:eastAsia="方正小标宋_GBK" w:cs="方正小标宋_GBK"/>
          <w:b w:val="0"/>
          <w:bCs w:val="0"/>
          <w:kern w:val="0"/>
          <w:sz w:val="44"/>
          <w:szCs w:val="44"/>
        </w:rPr>
      </w:pPr>
      <w:r>
        <w:rPr>
          <w:rFonts w:hint="eastAsia" w:ascii="方正小标宋_GBK" w:hAnsi="方正小标宋_GBK" w:eastAsia="方正小标宋_GBK" w:cs="方正小标宋_GBK"/>
          <w:b w:val="0"/>
          <w:bCs w:val="0"/>
          <w:kern w:val="0"/>
          <w:sz w:val="44"/>
          <w:szCs w:val="44"/>
        </w:rPr>
        <w:t>服务项目招标内容及要求</w:t>
      </w:r>
    </w:p>
    <w:p>
      <w:pPr>
        <w:keepNext w:val="0"/>
        <w:keepLines w:val="0"/>
        <w:pageBreakBefore w:val="0"/>
        <w:widowControl/>
        <w:kinsoku/>
        <w:wordWrap/>
        <w:overflowPunct/>
        <w:topLinePunct w:val="0"/>
        <w:autoSpaceDE/>
        <w:autoSpaceDN/>
        <w:bidi w:val="0"/>
        <w:adjustRightInd/>
        <w:snapToGrid/>
        <w:spacing w:after="0" w:line="600" w:lineRule="exact"/>
        <w:jc w:val="left"/>
        <w:rPr>
          <w:rFonts w:hint="eastAsia" w:ascii="仿宋_GB2312" w:hAnsi="仿宋_GB2312" w:eastAsia="仿宋_GB2312" w:cs="仿宋_GB2312"/>
          <w:b/>
          <w:kern w:val="0"/>
          <w:sz w:val="32"/>
          <w:szCs w:val="32"/>
        </w:rPr>
      </w:pPr>
    </w:p>
    <w:p>
      <w:pPr>
        <w:keepNext w:val="0"/>
        <w:keepLines w:val="0"/>
        <w:pageBreakBefore w:val="0"/>
        <w:widowControl/>
        <w:kinsoku/>
        <w:wordWrap/>
        <w:overflowPunct/>
        <w:topLinePunct w:val="0"/>
        <w:autoSpaceDE/>
        <w:autoSpaceDN/>
        <w:bidi w:val="0"/>
        <w:adjustRightInd/>
        <w:snapToGrid/>
        <w:spacing w:after="0" w:line="600" w:lineRule="exact"/>
        <w:jc w:val="lef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一、项目概况</w:t>
      </w:r>
    </w:p>
    <w:p>
      <w:pPr>
        <w:keepNext w:val="0"/>
        <w:keepLines w:val="0"/>
        <w:pageBreakBefore w:val="0"/>
        <w:widowControl/>
        <w:kinsoku/>
        <w:wordWrap/>
        <w:overflowPunct/>
        <w:topLinePunct w:val="0"/>
        <w:autoSpaceDE/>
        <w:autoSpaceDN/>
        <w:bidi w:val="0"/>
        <w:adjustRightInd/>
        <w:snapToGrid/>
        <w:spacing w:after="0" w:line="600"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val="0"/>
          <w:bCs/>
          <w:kern w:val="0"/>
          <w:sz w:val="32"/>
          <w:szCs w:val="32"/>
        </w:rPr>
        <w:t>本项目为福建省应急管理厅办公环境绿化保障服务项目，办公环境包括但不限于采购人目前所处</w:t>
      </w:r>
      <w:r>
        <w:rPr>
          <w:rFonts w:hint="eastAsia" w:ascii="仿宋_GB2312" w:hAnsi="仿宋_GB2312" w:eastAsia="仿宋_GB2312" w:cs="仿宋_GB2312"/>
          <w:kern w:val="0"/>
          <w:sz w:val="32"/>
          <w:szCs w:val="32"/>
        </w:rPr>
        <w:t>的</w:t>
      </w:r>
      <w:r>
        <w:rPr>
          <w:rFonts w:hint="eastAsia" w:ascii="仿宋_GB2312" w:hAnsi="仿宋_GB2312" w:eastAsia="仿宋_GB2312" w:cs="仿宋_GB2312"/>
          <w:kern w:val="0"/>
          <w:sz w:val="32"/>
          <w:szCs w:val="32"/>
          <w:lang w:eastAsia="zh-CN"/>
        </w:rPr>
        <w:t>省应急指挥中心内外、</w:t>
      </w:r>
      <w:r>
        <w:rPr>
          <w:rFonts w:hint="eastAsia" w:ascii="仿宋_GB2312" w:hAnsi="仿宋_GB2312" w:eastAsia="仿宋_GB2312" w:cs="仿宋_GB2312"/>
          <w:kern w:val="0"/>
          <w:sz w:val="32"/>
          <w:szCs w:val="32"/>
        </w:rPr>
        <w:t>省直东湖大院1、2号楼的办公场所及公共</w:t>
      </w:r>
      <w:r>
        <w:rPr>
          <w:rFonts w:hint="eastAsia" w:ascii="仿宋_GB2312" w:hAnsi="仿宋_GB2312" w:eastAsia="仿宋_GB2312" w:cs="仿宋_GB2312"/>
          <w:kern w:val="0"/>
          <w:sz w:val="32"/>
          <w:szCs w:val="32"/>
          <w:lang w:eastAsia="zh-CN"/>
        </w:rPr>
        <w:t>区域</w:t>
      </w:r>
      <w:r>
        <w:rPr>
          <w:rFonts w:hint="eastAsia" w:ascii="仿宋_GB2312" w:hAnsi="仿宋_GB2312" w:eastAsia="仿宋_GB2312" w:cs="仿宋_GB2312"/>
          <w:kern w:val="0"/>
          <w:sz w:val="32"/>
          <w:szCs w:val="32"/>
        </w:rPr>
        <w:t>。</w:t>
      </w:r>
    </w:p>
    <w:p>
      <w:pPr>
        <w:keepNext w:val="0"/>
        <w:keepLines w:val="0"/>
        <w:pageBreakBefore w:val="0"/>
        <w:widowControl/>
        <w:kinsoku/>
        <w:wordWrap/>
        <w:overflowPunct/>
        <w:topLinePunct w:val="0"/>
        <w:autoSpaceDE/>
        <w:autoSpaceDN/>
        <w:bidi w:val="0"/>
        <w:adjustRightInd/>
        <w:snapToGrid/>
        <w:spacing w:after="0" w:line="600" w:lineRule="exact"/>
        <w:jc w:val="lef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二、服务内容</w:t>
      </w:r>
    </w:p>
    <w:p>
      <w:pPr>
        <w:keepNext w:val="0"/>
        <w:keepLines w:val="0"/>
        <w:pageBreakBefore w:val="0"/>
        <w:kinsoku/>
        <w:wordWrap/>
        <w:overflowPunct/>
        <w:topLinePunct w:val="0"/>
        <w:autoSpaceDE/>
        <w:autoSpaceDN/>
        <w:bidi w:val="0"/>
        <w:adjustRightInd/>
        <w:snapToGrid/>
        <w:spacing w:after="0"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bCs/>
          <w:kern w:val="0"/>
          <w:sz w:val="32"/>
          <w:szCs w:val="32"/>
        </w:rPr>
        <w:t>中标人需根据采购人要求提供各类绿化植物，绿化植物品种、规格、及数量方案如下（中标人提供</w:t>
      </w:r>
      <w:r>
        <w:rPr>
          <w:rFonts w:hint="eastAsia" w:ascii="仿宋_GB2312" w:hAnsi="仿宋_GB2312" w:eastAsia="仿宋_GB2312" w:cs="仿宋_GB2312"/>
          <w:bCs/>
          <w:kern w:val="0"/>
          <w:sz w:val="32"/>
          <w:szCs w:val="32"/>
          <w:lang w:eastAsia="zh-CN"/>
        </w:rPr>
        <w:t>下表</w:t>
      </w:r>
      <w:r>
        <w:rPr>
          <w:rFonts w:hint="eastAsia" w:ascii="仿宋_GB2312" w:hAnsi="仿宋_GB2312" w:eastAsia="仿宋_GB2312" w:cs="仿宋_GB2312"/>
          <w:bCs/>
          <w:kern w:val="0"/>
          <w:sz w:val="32"/>
          <w:szCs w:val="32"/>
        </w:rPr>
        <w:t>绿植供采购人使用，绿植所有权归中标人所有，中标人负责绿植的损坏更换、养护等工作）：</w:t>
      </w:r>
    </w:p>
    <w:p>
      <w:pPr>
        <w:keepNext w:val="0"/>
        <w:keepLines w:val="0"/>
        <w:pageBreakBefore w:val="0"/>
        <w:kinsoku/>
        <w:wordWrap/>
        <w:overflowPunct/>
        <w:topLinePunct w:val="0"/>
        <w:autoSpaceDE/>
        <w:autoSpaceDN/>
        <w:bidi w:val="0"/>
        <w:adjustRightInd/>
        <w:snapToGrid/>
        <w:spacing w:after="0"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1.厅公共区域、省应急指挥中心室内外、部分办公室花卉租摆</w:t>
      </w:r>
    </w:p>
    <w:tbl>
      <w:tblPr>
        <w:tblStyle w:val="5"/>
        <w:tblW w:w="833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228"/>
        <w:gridCol w:w="2033"/>
        <w:gridCol w:w="3765"/>
        <w:gridCol w:w="13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40" w:hRule="atLeast"/>
        </w:trPr>
        <w:tc>
          <w:tcPr>
            <w:tcW w:w="12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b/>
                <w:i w:val="0"/>
                <w:color w:val="000000"/>
                <w:sz w:val="32"/>
                <w:szCs w:val="32"/>
                <w:u w:val="none"/>
              </w:rPr>
            </w:pPr>
            <w:r>
              <w:rPr>
                <w:rFonts w:hint="eastAsia" w:ascii="仿宋_GB2312" w:hAnsi="仿宋_GB2312" w:eastAsia="仿宋_GB2312" w:cs="仿宋_GB2312"/>
                <w:b/>
                <w:i w:val="0"/>
                <w:color w:val="000000"/>
                <w:kern w:val="0"/>
                <w:sz w:val="32"/>
                <w:szCs w:val="32"/>
                <w:u w:val="none"/>
                <w:lang w:val="en-US" w:eastAsia="zh-CN" w:bidi="ar"/>
              </w:rPr>
              <w:t>序号</w:t>
            </w:r>
          </w:p>
        </w:tc>
        <w:tc>
          <w:tcPr>
            <w:tcW w:w="2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b/>
                <w:i w:val="0"/>
                <w:color w:val="000000"/>
                <w:sz w:val="32"/>
                <w:szCs w:val="32"/>
                <w:u w:val="none"/>
              </w:rPr>
            </w:pPr>
            <w:r>
              <w:rPr>
                <w:rFonts w:hint="eastAsia" w:ascii="仿宋_GB2312" w:hAnsi="仿宋_GB2312" w:eastAsia="仿宋_GB2312" w:cs="仿宋_GB2312"/>
                <w:b/>
                <w:i w:val="0"/>
                <w:color w:val="000000"/>
                <w:kern w:val="0"/>
                <w:sz w:val="32"/>
                <w:szCs w:val="32"/>
                <w:u w:val="none"/>
                <w:lang w:val="en-US" w:eastAsia="zh-CN" w:bidi="ar"/>
              </w:rPr>
              <w:t>品目</w:t>
            </w:r>
          </w:p>
        </w:tc>
        <w:tc>
          <w:tcPr>
            <w:tcW w:w="3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b/>
                <w:i w:val="0"/>
                <w:color w:val="000000"/>
                <w:sz w:val="32"/>
                <w:szCs w:val="32"/>
                <w:u w:val="none"/>
              </w:rPr>
            </w:pPr>
            <w:r>
              <w:rPr>
                <w:rFonts w:hint="eastAsia" w:ascii="仿宋_GB2312" w:hAnsi="仿宋_GB2312" w:eastAsia="仿宋_GB2312" w:cs="仿宋_GB2312"/>
                <w:b/>
                <w:i w:val="0"/>
                <w:color w:val="000000"/>
                <w:kern w:val="0"/>
                <w:sz w:val="32"/>
                <w:szCs w:val="32"/>
                <w:u w:val="none"/>
                <w:lang w:val="en-US" w:eastAsia="zh-CN" w:bidi="ar"/>
              </w:rPr>
              <w:t>规格</w:t>
            </w:r>
          </w:p>
        </w:tc>
        <w:tc>
          <w:tcPr>
            <w:tcW w:w="1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b/>
                <w:i w:val="0"/>
                <w:color w:val="000000"/>
                <w:sz w:val="32"/>
                <w:szCs w:val="32"/>
                <w:u w:val="none"/>
              </w:rPr>
            </w:pPr>
            <w:r>
              <w:rPr>
                <w:rFonts w:hint="eastAsia" w:ascii="仿宋_GB2312" w:hAnsi="仿宋_GB2312" w:eastAsia="仿宋_GB2312" w:cs="仿宋_GB2312"/>
                <w:b/>
                <w:i w:val="0"/>
                <w:color w:val="000000"/>
                <w:kern w:val="0"/>
                <w:sz w:val="32"/>
                <w:szCs w:val="32"/>
                <w:u w:val="none"/>
                <w:lang w:val="en-US" w:eastAsia="zh-CN" w:bidi="ar"/>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12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w:t>
            </w:r>
          </w:p>
        </w:tc>
        <w:tc>
          <w:tcPr>
            <w:tcW w:w="2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千年木</w:t>
            </w:r>
          </w:p>
        </w:tc>
        <w:tc>
          <w:tcPr>
            <w:tcW w:w="3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(1)养护周期12个月</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(2)千年木</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(3)蓬径≥50cm 自然高≥14.5cm</w:t>
            </w:r>
          </w:p>
        </w:tc>
        <w:tc>
          <w:tcPr>
            <w:tcW w:w="1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12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2</w:t>
            </w:r>
          </w:p>
        </w:tc>
        <w:tc>
          <w:tcPr>
            <w:tcW w:w="2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吉姆蕨</w:t>
            </w:r>
          </w:p>
        </w:tc>
        <w:tc>
          <w:tcPr>
            <w:tcW w:w="3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(1)养护周期12个月</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(2)吉姆蕨</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(3)冠幅≥50cm 高度≥50cm</w:t>
            </w:r>
          </w:p>
        </w:tc>
        <w:tc>
          <w:tcPr>
            <w:tcW w:w="1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12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3</w:t>
            </w:r>
          </w:p>
        </w:tc>
        <w:tc>
          <w:tcPr>
            <w:tcW w:w="2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巴西美人</w:t>
            </w:r>
          </w:p>
        </w:tc>
        <w:tc>
          <w:tcPr>
            <w:tcW w:w="3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(1)养护周期12个月</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(2)巴西美人</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(3)冠幅≥43cm 高度≥50cm</w:t>
            </w:r>
          </w:p>
        </w:tc>
        <w:tc>
          <w:tcPr>
            <w:tcW w:w="1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12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4</w:t>
            </w:r>
          </w:p>
        </w:tc>
        <w:tc>
          <w:tcPr>
            <w:tcW w:w="2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天堂鸟</w:t>
            </w:r>
          </w:p>
        </w:tc>
        <w:tc>
          <w:tcPr>
            <w:tcW w:w="3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(1)养护周期12个月</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(2)天堂鸟</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(3)冠幅≥95cm 高度≥170cm</w:t>
            </w:r>
          </w:p>
        </w:tc>
        <w:tc>
          <w:tcPr>
            <w:tcW w:w="1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12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5</w:t>
            </w:r>
          </w:p>
        </w:tc>
        <w:tc>
          <w:tcPr>
            <w:tcW w:w="2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龟背竹</w:t>
            </w:r>
          </w:p>
        </w:tc>
        <w:tc>
          <w:tcPr>
            <w:tcW w:w="3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(1)养护周期12个月</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(2)龟背竹</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(3)冠幅≥65cm 高度≥90cm</w:t>
            </w:r>
          </w:p>
        </w:tc>
        <w:tc>
          <w:tcPr>
            <w:tcW w:w="1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12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6</w:t>
            </w:r>
          </w:p>
        </w:tc>
        <w:tc>
          <w:tcPr>
            <w:tcW w:w="2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蝴蝶兰</w:t>
            </w:r>
          </w:p>
        </w:tc>
        <w:tc>
          <w:tcPr>
            <w:tcW w:w="3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(1)养护周期12个月</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(2)蝴蝶兰</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(3)冠幅≥45cm 高度≥70cm</w:t>
            </w:r>
          </w:p>
        </w:tc>
        <w:tc>
          <w:tcPr>
            <w:tcW w:w="1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12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7</w:t>
            </w:r>
          </w:p>
        </w:tc>
        <w:tc>
          <w:tcPr>
            <w:tcW w:w="2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细级铁加盒</w:t>
            </w:r>
          </w:p>
        </w:tc>
        <w:tc>
          <w:tcPr>
            <w:tcW w:w="3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(1)养护周期12个月</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(2)细级铁加盒</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(3)冠幅≥45cm 高度≥65cm</w:t>
            </w:r>
          </w:p>
        </w:tc>
        <w:tc>
          <w:tcPr>
            <w:tcW w:w="1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12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8</w:t>
            </w:r>
          </w:p>
        </w:tc>
        <w:tc>
          <w:tcPr>
            <w:tcW w:w="2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散尾葵（特大）</w:t>
            </w:r>
          </w:p>
        </w:tc>
        <w:tc>
          <w:tcPr>
            <w:tcW w:w="3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(1)养护周期12个月</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(2)散尾葵（特大）</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(3)冠幅≥135cm 高度≥235cm</w:t>
            </w:r>
          </w:p>
        </w:tc>
        <w:tc>
          <w:tcPr>
            <w:tcW w:w="1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12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9</w:t>
            </w:r>
          </w:p>
        </w:tc>
        <w:tc>
          <w:tcPr>
            <w:tcW w:w="2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富贵树</w:t>
            </w:r>
          </w:p>
        </w:tc>
        <w:tc>
          <w:tcPr>
            <w:tcW w:w="3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(1)养护周期12个月</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(2)富贵树</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(3)冠幅≥130cm 高度≥200cm</w:t>
            </w:r>
          </w:p>
        </w:tc>
        <w:tc>
          <w:tcPr>
            <w:tcW w:w="1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12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10</w:t>
            </w:r>
          </w:p>
        </w:tc>
        <w:tc>
          <w:tcPr>
            <w:tcW w:w="2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造型黄金榕</w:t>
            </w:r>
          </w:p>
        </w:tc>
        <w:tc>
          <w:tcPr>
            <w:tcW w:w="3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(1)养护周期12个月</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(2)造型黄金榕</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(3)冠幅≥80cm 高度≥175cm</w:t>
            </w:r>
          </w:p>
        </w:tc>
        <w:tc>
          <w:tcPr>
            <w:tcW w:w="1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12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11</w:t>
            </w:r>
          </w:p>
        </w:tc>
        <w:tc>
          <w:tcPr>
            <w:tcW w:w="2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万年麻</w:t>
            </w:r>
          </w:p>
        </w:tc>
        <w:tc>
          <w:tcPr>
            <w:tcW w:w="3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(1)养护周期12个月</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(2)万年麻</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(3)冠幅≥80cm 高度≥95cm</w:t>
            </w:r>
          </w:p>
        </w:tc>
        <w:tc>
          <w:tcPr>
            <w:tcW w:w="1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12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12</w:t>
            </w:r>
          </w:p>
        </w:tc>
        <w:tc>
          <w:tcPr>
            <w:tcW w:w="2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塔型金叶女贞</w:t>
            </w:r>
          </w:p>
        </w:tc>
        <w:tc>
          <w:tcPr>
            <w:tcW w:w="3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(1)养护周期12个月</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(2)塔型金叶女贞</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(3)冠幅≥70cm 高度≥120cm</w:t>
            </w:r>
          </w:p>
        </w:tc>
        <w:tc>
          <w:tcPr>
            <w:tcW w:w="1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12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13</w:t>
            </w:r>
          </w:p>
        </w:tc>
        <w:tc>
          <w:tcPr>
            <w:tcW w:w="2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洒金变叶木</w:t>
            </w:r>
          </w:p>
        </w:tc>
        <w:tc>
          <w:tcPr>
            <w:tcW w:w="3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(1)养护周期12个月</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(2)洒金变叶木</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(3)冠幅≥35cm 高度≥50cm</w:t>
            </w:r>
          </w:p>
        </w:tc>
        <w:tc>
          <w:tcPr>
            <w:tcW w:w="1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12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14</w:t>
            </w:r>
          </w:p>
        </w:tc>
        <w:tc>
          <w:tcPr>
            <w:tcW w:w="2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美丽针葵</w:t>
            </w:r>
          </w:p>
        </w:tc>
        <w:tc>
          <w:tcPr>
            <w:tcW w:w="3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(1)养护周期12个月</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(2)美丽针葵</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(3)冠幅≥90cm 高度≥110cm</w:t>
            </w:r>
          </w:p>
        </w:tc>
        <w:tc>
          <w:tcPr>
            <w:tcW w:w="1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12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15</w:t>
            </w:r>
          </w:p>
        </w:tc>
        <w:tc>
          <w:tcPr>
            <w:tcW w:w="2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冬青</w:t>
            </w:r>
          </w:p>
        </w:tc>
        <w:tc>
          <w:tcPr>
            <w:tcW w:w="3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(1)养护周期12个月</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(2)冬青</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(3)冠幅≥70cm 高度≥100cm</w:t>
            </w:r>
          </w:p>
        </w:tc>
        <w:tc>
          <w:tcPr>
            <w:tcW w:w="1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12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16</w:t>
            </w:r>
          </w:p>
        </w:tc>
        <w:tc>
          <w:tcPr>
            <w:tcW w:w="2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龙血树</w:t>
            </w:r>
          </w:p>
        </w:tc>
        <w:tc>
          <w:tcPr>
            <w:tcW w:w="3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(1)养护周期12个月</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(2)龙血树</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(3)冠幅≥70cm 高度≥175cm</w:t>
            </w:r>
          </w:p>
        </w:tc>
        <w:tc>
          <w:tcPr>
            <w:tcW w:w="1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12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17</w:t>
            </w:r>
          </w:p>
        </w:tc>
        <w:tc>
          <w:tcPr>
            <w:tcW w:w="2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绿宝</w:t>
            </w:r>
          </w:p>
        </w:tc>
        <w:tc>
          <w:tcPr>
            <w:tcW w:w="3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(1)养护周期12个月</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(2)绿宝</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(3)冠幅≥60cm 高度≥95cm</w:t>
            </w:r>
          </w:p>
        </w:tc>
        <w:tc>
          <w:tcPr>
            <w:tcW w:w="1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12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18</w:t>
            </w:r>
          </w:p>
        </w:tc>
        <w:tc>
          <w:tcPr>
            <w:tcW w:w="2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绿宝</w:t>
            </w:r>
          </w:p>
        </w:tc>
        <w:tc>
          <w:tcPr>
            <w:tcW w:w="3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(1)养护周期12个月</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(2)绿宝</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(3)冠幅≥70cm 高度≥115cm</w:t>
            </w:r>
          </w:p>
        </w:tc>
        <w:tc>
          <w:tcPr>
            <w:tcW w:w="1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12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19</w:t>
            </w:r>
          </w:p>
        </w:tc>
        <w:tc>
          <w:tcPr>
            <w:tcW w:w="2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夏威夷</w:t>
            </w:r>
          </w:p>
        </w:tc>
        <w:tc>
          <w:tcPr>
            <w:tcW w:w="3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(1)养护周期12个月</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(2)夏威夷</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(3)冠幅≥50cm 高度≥70cm</w:t>
            </w:r>
          </w:p>
        </w:tc>
        <w:tc>
          <w:tcPr>
            <w:tcW w:w="1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12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20</w:t>
            </w:r>
          </w:p>
        </w:tc>
        <w:tc>
          <w:tcPr>
            <w:tcW w:w="2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也门铁</w:t>
            </w:r>
          </w:p>
        </w:tc>
        <w:tc>
          <w:tcPr>
            <w:tcW w:w="3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(1)养护周期12个月</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(2)也门铁</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(3)冠幅≥58cm 高度≥70cm</w:t>
            </w:r>
          </w:p>
        </w:tc>
        <w:tc>
          <w:tcPr>
            <w:tcW w:w="1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12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21</w:t>
            </w:r>
          </w:p>
        </w:tc>
        <w:tc>
          <w:tcPr>
            <w:tcW w:w="2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彩叶草</w:t>
            </w:r>
          </w:p>
        </w:tc>
        <w:tc>
          <w:tcPr>
            <w:tcW w:w="3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(1)养护周期12个月</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(2)彩叶草</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(3)冠幅≥35cm 高度≥45cm</w:t>
            </w:r>
          </w:p>
        </w:tc>
        <w:tc>
          <w:tcPr>
            <w:tcW w:w="1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12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22</w:t>
            </w:r>
          </w:p>
        </w:tc>
        <w:tc>
          <w:tcPr>
            <w:tcW w:w="2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紫牡丹</w:t>
            </w:r>
          </w:p>
        </w:tc>
        <w:tc>
          <w:tcPr>
            <w:tcW w:w="3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(1)养护周期12个月</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(2)紫牡丹</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(3)冠幅≥26cm 高度≥30cm</w:t>
            </w:r>
          </w:p>
        </w:tc>
        <w:tc>
          <w:tcPr>
            <w:tcW w:w="1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12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23</w:t>
            </w:r>
          </w:p>
        </w:tc>
        <w:tc>
          <w:tcPr>
            <w:tcW w:w="2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杜娟</w:t>
            </w:r>
          </w:p>
        </w:tc>
        <w:tc>
          <w:tcPr>
            <w:tcW w:w="3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(1)养护周期12个月</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(2)杜娟</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(3)冠幅≥25cm 高度≥30cm</w:t>
            </w:r>
          </w:p>
        </w:tc>
        <w:tc>
          <w:tcPr>
            <w:tcW w:w="1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12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24</w:t>
            </w:r>
          </w:p>
        </w:tc>
        <w:tc>
          <w:tcPr>
            <w:tcW w:w="2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茶花(赤丹）</w:t>
            </w:r>
          </w:p>
        </w:tc>
        <w:tc>
          <w:tcPr>
            <w:tcW w:w="3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(1)养护周期12个月</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(2)茶花(赤丹）</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(3)冠幅≥90cm 高度≥120cm</w:t>
            </w:r>
          </w:p>
        </w:tc>
        <w:tc>
          <w:tcPr>
            <w:tcW w:w="1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12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25</w:t>
            </w:r>
          </w:p>
        </w:tc>
        <w:tc>
          <w:tcPr>
            <w:tcW w:w="2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茶花(香茶）</w:t>
            </w:r>
          </w:p>
        </w:tc>
        <w:tc>
          <w:tcPr>
            <w:tcW w:w="3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(1)养护周期12个月</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(2)茶花(香茶）</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(3)冠幅≥70cm 高度≥100cm</w:t>
            </w:r>
          </w:p>
        </w:tc>
        <w:tc>
          <w:tcPr>
            <w:tcW w:w="1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12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26</w:t>
            </w:r>
          </w:p>
        </w:tc>
        <w:tc>
          <w:tcPr>
            <w:tcW w:w="2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幸福树（造型）</w:t>
            </w:r>
          </w:p>
        </w:tc>
        <w:tc>
          <w:tcPr>
            <w:tcW w:w="3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(1)养护周期12个月</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(2)幸福树（造型）</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(3)冠幅≥85cm 高度≥165cm</w:t>
            </w:r>
          </w:p>
        </w:tc>
        <w:tc>
          <w:tcPr>
            <w:tcW w:w="1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12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27</w:t>
            </w:r>
          </w:p>
        </w:tc>
        <w:tc>
          <w:tcPr>
            <w:tcW w:w="2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孔雀木</w:t>
            </w:r>
          </w:p>
        </w:tc>
        <w:tc>
          <w:tcPr>
            <w:tcW w:w="3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(1)养护周期12个月</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(2)孔雀木</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(3)冠幅≥80cm 高度≥110cm</w:t>
            </w:r>
          </w:p>
        </w:tc>
        <w:tc>
          <w:tcPr>
            <w:tcW w:w="1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12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28</w:t>
            </w:r>
          </w:p>
        </w:tc>
        <w:tc>
          <w:tcPr>
            <w:tcW w:w="2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绿苔柱</w:t>
            </w:r>
          </w:p>
        </w:tc>
        <w:tc>
          <w:tcPr>
            <w:tcW w:w="3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(1)养护周期12个月</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(2)绿苔柱</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(3)冠幅≥80cm 高度≥150cm</w:t>
            </w:r>
          </w:p>
        </w:tc>
        <w:tc>
          <w:tcPr>
            <w:tcW w:w="1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12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29</w:t>
            </w:r>
          </w:p>
        </w:tc>
        <w:tc>
          <w:tcPr>
            <w:tcW w:w="2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兰花</w:t>
            </w:r>
          </w:p>
        </w:tc>
        <w:tc>
          <w:tcPr>
            <w:tcW w:w="3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(1)养护周期12个月</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(2)兰花</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(3)冠幅≥30cm 高度≥45cm</w:t>
            </w:r>
          </w:p>
        </w:tc>
        <w:tc>
          <w:tcPr>
            <w:tcW w:w="1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12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30</w:t>
            </w:r>
          </w:p>
        </w:tc>
        <w:tc>
          <w:tcPr>
            <w:tcW w:w="2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四季茶花</w:t>
            </w:r>
          </w:p>
        </w:tc>
        <w:tc>
          <w:tcPr>
            <w:tcW w:w="3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(1)养护周期12个月</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(2)四季茶花</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(3)冠幅≥35cm 高度≥60cm</w:t>
            </w:r>
          </w:p>
        </w:tc>
        <w:tc>
          <w:tcPr>
            <w:tcW w:w="1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12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31</w:t>
            </w:r>
          </w:p>
        </w:tc>
        <w:tc>
          <w:tcPr>
            <w:tcW w:w="2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天堂鸟</w:t>
            </w:r>
          </w:p>
        </w:tc>
        <w:tc>
          <w:tcPr>
            <w:tcW w:w="3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(1)养护周期12个月</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(2)天堂鸟</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(3)冠幅≥95cm 高度≥160cm</w:t>
            </w:r>
          </w:p>
        </w:tc>
        <w:tc>
          <w:tcPr>
            <w:tcW w:w="1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12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32</w:t>
            </w:r>
          </w:p>
        </w:tc>
        <w:tc>
          <w:tcPr>
            <w:tcW w:w="2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发财树</w:t>
            </w:r>
          </w:p>
        </w:tc>
        <w:tc>
          <w:tcPr>
            <w:tcW w:w="3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(1)养护周期12个月</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(2)发财树</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(3)冠幅≥90cm 高度≥170cm</w:t>
            </w:r>
          </w:p>
        </w:tc>
        <w:tc>
          <w:tcPr>
            <w:tcW w:w="1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12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33</w:t>
            </w:r>
          </w:p>
        </w:tc>
        <w:tc>
          <w:tcPr>
            <w:tcW w:w="2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红掌</w:t>
            </w:r>
          </w:p>
        </w:tc>
        <w:tc>
          <w:tcPr>
            <w:tcW w:w="3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(1)养护周期12个月</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(2)红掌</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(3)冠幅≥33cm 高度≥45cm</w:t>
            </w:r>
          </w:p>
        </w:tc>
        <w:tc>
          <w:tcPr>
            <w:tcW w:w="1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12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34</w:t>
            </w:r>
          </w:p>
        </w:tc>
        <w:tc>
          <w:tcPr>
            <w:tcW w:w="2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黑金刚</w:t>
            </w:r>
          </w:p>
        </w:tc>
        <w:tc>
          <w:tcPr>
            <w:tcW w:w="3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(1)养护周期12个月</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(2)黑金刚</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(3)冠幅≥70cm 高度≥110cm</w:t>
            </w:r>
          </w:p>
        </w:tc>
        <w:tc>
          <w:tcPr>
            <w:tcW w:w="1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12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35</w:t>
            </w:r>
          </w:p>
        </w:tc>
        <w:tc>
          <w:tcPr>
            <w:tcW w:w="2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天堂鸟</w:t>
            </w:r>
          </w:p>
        </w:tc>
        <w:tc>
          <w:tcPr>
            <w:tcW w:w="3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(1)养护周期12个月</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(2)天堂鸟</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(3)冠幅≥95cm 高度≥160cm</w:t>
            </w:r>
          </w:p>
        </w:tc>
        <w:tc>
          <w:tcPr>
            <w:tcW w:w="1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12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36</w:t>
            </w:r>
          </w:p>
        </w:tc>
        <w:tc>
          <w:tcPr>
            <w:tcW w:w="2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幸福树(造型)</w:t>
            </w:r>
          </w:p>
        </w:tc>
        <w:tc>
          <w:tcPr>
            <w:tcW w:w="3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(1)养护周期12个月</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(2)幸福树(造型)</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(3)冠幅≥60cm 高度≥150cm</w:t>
            </w:r>
          </w:p>
        </w:tc>
        <w:tc>
          <w:tcPr>
            <w:tcW w:w="1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12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37</w:t>
            </w:r>
          </w:p>
        </w:tc>
        <w:tc>
          <w:tcPr>
            <w:tcW w:w="2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三角梅</w:t>
            </w:r>
          </w:p>
        </w:tc>
        <w:tc>
          <w:tcPr>
            <w:tcW w:w="3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(1)养护周期12个月</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(2)三角梅</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(3)冠幅≥35cm 高度≥50cm</w:t>
            </w:r>
          </w:p>
        </w:tc>
        <w:tc>
          <w:tcPr>
            <w:tcW w:w="1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12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38</w:t>
            </w:r>
          </w:p>
        </w:tc>
        <w:tc>
          <w:tcPr>
            <w:tcW w:w="2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杜娟</w:t>
            </w:r>
          </w:p>
        </w:tc>
        <w:tc>
          <w:tcPr>
            <w:tcW w:w="3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(1)养护周期12个月</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(2)杜娟</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(3)冠幅≥35cm 高度≥30cm</w:t>
            </w:r>
          </w:p>
        </w:tc>
        <w:tc>
          <w:tcPr>
            <w:tcW w:w="1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12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39</w:t>
            </w:r>
          </w:p>
        </w:tc>
        <w:tc>
          <w:tcPr>
            <w:tcW w:w="2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天堂鸟</w:t>
            </w:r>
          </w:p>
        </w:tc>
        <w:tc>
          <w:tcPr>
            <w:tcW w:w="3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(1)养护周期12个月</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(2)天堂鸟</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(3)冠幅≥65cm 高度≥70cm</w:t>
            </w:r>
          </w:p>
        </w:tc>
        <w:tc>
          <w:tcPr>
            <w:tcW w:w="1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12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40</w:t>
            </w:r>
          </w:p>
        </w:tc>
        <w:tc>
          <w:tcPr>
            <w:tcW w:w="2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茶花</w:t>
            </w:r>
          </w:p>
        </w:tc>
        <w:tc>
          <w:tcPr>
            <w:tcW w:w="3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(1)养护周期12个月</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(2)茶花</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(3)冠幅≥45cm 高度≥60cm</w:t>
            </w:r>
          </w:p>
        </w:tc>
        <w:tc>
          <w:tcPr>
            <w:tcW w:w="1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12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41</w:t>
            </w:r>
          </w:p>
        </w:tc>
        <w:tc>
          <w:tcPr>
            <w:tcW w:w="2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水培绿苔</w:t>
            </w:r>
          </w:p>
        </w:tc>
        <w:tc>
          <w:tcPr>
            <w:tcW w:w="3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(1)养护周期12个月                      (2)水培绿苔</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(3)冠幅≥20cm 高度≥23cm</w:t>
            </w:r>
          </w:p>
        </w:tc>
        <w:tc>
          <w:tcPr>
            <w:tcW w:w="1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12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42</w:t>
            </w:r>
          </w:p>
        </w:tc>
        <w:tc>
          <w:tcPr>
            <w:tcW w:w="2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一品红</w:t>
            </w:r>
          </w:p>
        </w:tc>
        <w:tc>
          <w:tcPr>
            <w:tcW w:w="3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(1)养护周期12个月</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(2)一品红</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(3)冠幅≥30cm 高度≥35cm</w:t>
            </w:r>
          </w:p>
        </w:tc>
        <w:tc>
          <w:tcPr>
            <w:tcW w:w="1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12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43</w:t>
            </w:r>
          </w:p>
        </w:tc>
        <w:tc>
          <w:tcPr>
            <w:tcW w:w="2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年桔</w:t>
            </w:r>
          </w:p>
        </w:tc>
        <w:tc>
          <w:tcPr>
            <w:tcW w:w="3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(1)养护周期12个月</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(2)年桔</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(3)冠幅≥100cm 高度≥180cm</w:t>
            </w:r>
          </w:p>
        </w:tc>
        <w:tc>
          <w:tcPr>
            <w:tcW w:w="1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12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44</w:t>
            </w:r>
          </w:p>
        </w:tc>
        <w:tc>
          <w:tcPr>
            <w:tcW w:w="2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绿萝柱</w:t>
            </w:r>
          </w:p>
        </w:tc>
        <w:tc>
          <w:tcPr>
            <w:tcW w:w="3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(1)养护周期12个月</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(2)绿萝柱</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(3)冠幅≥60cm 高度≥150cm</w:t>
            </w:r>
          </w:p>
        </w:tc>
        <w:tc>
          <w:tcPr>
            <w:tcW w:w="1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12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45</w:t>
            </w:r>
          </w:p>
        </w:tc>
        <w:tc>
          <w:tcPr>
            <w:tcW w:w="2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花叶洒金</w:t>
            </w:r>
          </w:p>
        </w:tc>
        <w:tc>
          <w:tcPr>
            <w:tcW w:w="3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(1)养护周期12个月</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(2)花叶洒金</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(3)冠幅≥35cm 高度≥50cm</w:t>
            </w:r>
          </w:p>
        </w:tc>
        <w:tc>
          <w:tcPr>
            <w:tcW w:w="1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12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46</w:t>
            </w:r>
          </w:p>
        </w:tc>
        <w:tc>
          <w:tcPr>
            <w:tcW w:w="2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杜鹃</w:t>
            </w:r>
          </w:p>
        </w:tc>
        <w:tc>
          <w:tcPr>
            <w:tcW w:w="3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(1)养护周期12个月</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(2)杜鹃</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(3)冠幅≥15cm 高度≥25cm</w:t>
            </w:r>
          </w:p>
        </w:tc>
        <w:tc>
          <w:tcPr>
            <w:tcW w:w="1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12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47</w:t>
            </w:r>
          </w:p>
        </w:tc>
        <w:tc>
          <w:tcPr>
            <w:tcW w:w="2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彩叶草</w:t>
            </w:r>
          </w:p>
        </w:tc>
        <w:tc>
          <w:tcPr>
            <w:tcW w:w="3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(1)养护周期12个月</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(2)彩叶草</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(3)冠幅≥35cm 高度≥40cm</w:t>
            </w:r>
          </w:p>
        </w:tc>
        <w:tc>
          <w:tcPr>
            <w:tcW w:w="1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12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48</w:t>
            </w:r>
          </w:p>
        </w:tc>
        <w:tc>
          <w:tcPr>
            <w:tcW w:w="2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大茶花</w:t>
            </w:r>
          </w:p>
        </w:tc>
        <w:tc>
          <w:tcPr>
            <w:tcW w:w="3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(1)养护周期12个月</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(2)大茶花</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(3)冠幅≥65cm 高度≥90cm</w:t>
            </w:r>
          </w:p>
        </w:tc>
        <w:tc>
          <w:tcPr>
            <w:tcW w:w="1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12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49</w:t>
            </w:r>
          </w:p>
        </w:tc>
        <w:tc>
          <w:tcPr>
            <w:tcW w:w="203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罗汉松</w:t>
            </w:r>
          </w:p>
        </w:tc>
        <w:tc>
          <w:tcPr>
            <w:tcW w:w="3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(1)养护周期12个月</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(2)罗汉松</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(3)冠幅≥70cm 高度≥170cm</w:t>
            </w:r>
          </w:p>
        </w:tc>
        <w:tc>
          <w:tcPr>
            <w:tcW w:w="13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12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50</w:t>
            </w:r>
          </w:p>
        </w:tc>
        <w:tc>
          <w:tcPr>
            <w:tcW w:w="2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一品红</w:t>
            </w:r>
          </w:p>
        </w:tc>
        <w:tc>
          <w:tcPr>
            <w:tcW w:w="3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(1)养护周期12个月</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(2)一品红</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(3)冠幅≥25cm 高度≥40cm</w:t>
            </w:r>
          </w:p>
        </w:tc>
        <w:tc>
          <w:tcPr>
            <w:tcW w:w="1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12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51</w:t>
            </w:r>
          </w:p>
        </w:tc>
        <w:tc>
          <w:tcPr>
            <w:tcW w:w="203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海棠</w:t>
            </w:r>
          </w:p>
        </w:tc>
        <w:tc>
          <w:tcPr>
            <w:tcW w:w="3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(1)养护周期12个月</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(2)海棠</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(3)冠幅≥25cm 高度≥40cm</w:t>
            </w:r>
          </w:p>
        </w:tc>
        <w:tc>
          <w:tcPr>
            <w:tcW w:w="13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12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52</w:t>
            </w:r>
          </w:p>
        </w:tc>
        <w:tc>
          <w:tcPr>
            <w:tcW w:w="203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大三角梅</w:t>
            </w:r>
          </w:p>
        </w:tc>
        <w:tc>
          <w:tcPr>
            <w:tcW w:w="3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(1)养护周期12个月</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(2)大三角梅</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(3)冠幅≥60cm 高度≥180cm</w:t>
            </w:r>
          </w:p>
        </w:tc>
        <w:tc>
          <w:tcPr>
            <w:tcW w:w="13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12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53</w:t>
            </w:r>
          </w:p>
        </w:tc>
        <w:tc>
          <w:tcPr>
            <w:tcW w:w="203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三角梅</w:t>
            </w:r>
          </w:p>
        </w:tc>
        <w:tc>
          <w:tcPr>
            <w:tcW w:w="3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(1)养护周期12个月</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(2)三角梅</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(3)冠幅≥50cm 高度≥120cm</w:t>
            </w:r>
          </w:p>
        </w:tc>
        <w:tc>
          <w:tcPr>
            <w:tcW w:w="13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12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54</w:t>
            </w:r>
          </w:p>
        </w:tc>
        <w:tc>
          <w:tcPr>
            <w:tcW w:w="203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富贵籽</w:t>
            </w:r>
          </w:p>
        </w:tc>
        <w:tc>
          <w:tcPr>
            <w:tcW w:w="3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(1)养护周期12个月</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(2)富贵籽</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(3)冠幅≥25cm 高度≥40cm</w:t>
            </w:r>
          </w:p>
        </w:tc>
        <w:tc>
          <w:tcPr>
            <w:tcW w:w="13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12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55</w:t>
            </w:r>
          </w:p>
        </w:tc>
        <w:tc>
          <w:tcPr>
            <w:tcW w:w="203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小茶花</w:t>
            </w:r>
          </w:p>
        </w:tc>
        <w:tc>
          <w:tcPr>
            <w:tcW w:w="3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(1)养护周期12个月</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(2)小茶花</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(3)冠幅≥40cm 高度≥90cm</w:t>
            </w:r>
          </w:p>
        </w:tc>
        <w:tc>
          <w:tcPr>
            <w:tcW w:w="13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rPr>
        <w:tc>
          <w:tcPr>
            <w:tcW w:w="12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56</w:t>
            </w:r>
          </w:p>
        </w:tc>
        <w:tc>
          <w:tcPr>
            <w:tcW w:w="203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绣球</w:t>
            </w:r>
          </w:p>
        </w:tc>
        <w:tc>
          <w:tcPr>
            <w:tcW w:w="3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(1)养护周期12个月</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(2)绣球</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(3)冠幅≥35cm 高度≥40cm</w:t>
            </w:r>
          </w:p>
        </w:tc>
        <w:tc>
          <w:tcPr>
            <w:tcW w:w="13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6</w:t>
            </w:r>
          </w:p>
        </w:tc>
      </w:tr>
    </w:tbl>
    <w:p>
      <w:pPr>
        <w:keepNext w:val="0"/>
        <w:keepLines w:val="0"/>
        <w:pageBreakBefore w:val="0"/>
        <w:kinsoku/>
        <w:wordWrap/>
        <w:overflowPunct/>
        <w:topLinePunct w:val="0"/>
        <w:autoSpaceDE/>
        <w:autoSpaceDN/>
        <w:bidi w:val="0"/>
        <w:adjustRightInd/>
        <w:snapToGrid/>
        <w:spacing w:after="0"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2.省应急指挥中心室外及部分办公室养护</w:t>
      </w:r>
    </w:p>
    <w:tbl>
      <w:tblPr>
        <w:tblStyle w:val="5"/>
        <w:tblW w:w="84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15"/>
        <w:gridCol w:w="1046"/>
        <w:gridCol w:w="3669"/>
        <w:gridCol w:w="1362"/>
        <w:gridCol w:w="143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9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b/>
                <w:i w:val="0"/>
                <w:color w:val="000000"/>
                <w:sz w:val="32"/>
                <w:szCs w:val="32"/>
                <w:u w:val="none"/>
              </w:rPr>
            </w:pPr>
            <w:r>
              <w:rPr>
                <w:rFonts w:hint="eastAsia" w:ascii="仿宋_GB2312" w:hAnsi="仿宋_GB2312" w:eastAsia="仿宋_GB2312" w:cs="仿宋_GB2312"/>
                <w:b/>
                <w:i w:val="0"/>
                <w:color w:val="000000"/>
                <w:kern w:val="0"/>
                <w:sz w:val="32"/>
                <w:szCs w:val="32"/>
                <w:u w:val="none"/>
                <w:lang w:val="en-US" w:eastAsia="zh-CN" w:bidi="ar"/>
              </w:rPr>
              <w:t>序号</w:t>
            </w:r>
          </w:p>
        </w:tc>
        <w:tc>
          <w:tcPr>
            <w:tcW w:w="10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b/>
                <w:i w:val="0"/>
                <w:color w:val="000000"/>
                <w:sz w:val="32"/>
                <w:szCs w:val="32"/>
                <w:u w:val="none"/>
              </w:rPr>
            </w:pPr>
            <w:r>
              <w:rPr>
                <w:rFonts w:hint="eastAsia" w:ascii="仿宋_GB2312" w:hAnsi="仿宋_GB2312" w:eastAsia="仿宋_GB2312" w:cs="仿宋_GB2312"/>
                <w:b/>
                <w:i w:val="0"/>
                <w:color w:val="000000"/>
                <w:kern w:val="0"/>
                <w:sz w:val="32"/>
                <w:szCs w:val="32"/>
                <w:u w:val="none"/>
                <w:lang w:val="en-US" w:eastAsia="zh-CN" w:bidi="ar"/>
              </w:rPr>
              <w:t>品目</w:t>
            </w:r>
          </w:p>
        </w:tc>
        <w:tc>
          <w:tcPr>
            <w:tcW w:w="36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b/>
                <w:i w:val="0"/>
                <w:color w:val="000000"/>
                <w:sz w:val="32"/>
                <w:szCs w:val="32"/>
                <w:u w:val="none"/>
              </w:rPr>
            </w:pPr>
            <w:r>
              <w:rPr>
                <w:rFonts w:hint="eastAsia" w:ascii="仿宋_GB2312" w:hAnsi="仿宋_GB2312" w:eastAsia="仿宋_GB2312" w:cs="仿宋_GB2312"/>
                <w:b/>
                <w:i w:val="0"/>
                <w:color w:val="000000"/>
                <w:kern w:val="0"/>
                <w:sz w:val="32"/>
                <w:szCs w:val="32"/>
                <w:u w:val="none"/>
                <w:lang w:val="en-US" w:eastAsia="zh-CN" w:bidi="ar"/>
              </w:rPr>
              <w:t>规格</w:t>
            </w:r>
          </w:p>
        </w:tc>
        <w:tc>
          <w:tcPr>
            <w:tcW w:w="13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b/>
                <w:i w:val="0"/>
                <w:color w:val="000000"/>
                <w:sz w:val="32"/>
                <w:szCs w:val="32"/>
                <w:u w:val="none"/>
              </w:rPr>
            </w:pPr>
            <w:r>
              <w:rPr>
                <w:rFonts w:hint="eastAsia" w:ascii="仿宋_GB2312" w:hAnsi="仿宋_GB2312" w:eastAsia="仿宋_GB2312" w:cs="仿宋_GB2312"/>
                <w:b/>
                <w:i w:val="0"/>
                <w:color w:val="000000"/>
                <w:kern w:val="0"/>
                <w:sz w:val="32"/>
                <w:szCs w:val="32"/>
                <w:u w:val="none"/>
                <w:lang w:val="en-US" w:eastAsia="zh-CN" w:bidi="ar"/>
              </w:rPr>
              <w:t>数量</w:t>
            </w:r>
          </w:p>
        </w:tc>
        <w:tc>
          <w:tcPr>
            <w:tcW w:w="1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b/>
                <w:i w:val="0"/>
                <w:color w:val="000000"/>
                <w:sz w:val="32"/>
                <w:szCs w:val="32"/>
                <w:u w:val="none"/>
              </w:rPr>
            </w:pPr>
            <w:r>
              <w:rPr>
                <w:rFonts w:hint="eastAsia" w:ascii="仿宋_GB2312" w:hAnsi="仿宋_GB2312" w:eastAsia="仿宋_GB2312" w:cs="仿宋_GB2312"/>
                <w:b/>
                <w:i w:val="0"/>
                <w:color w:val="000000"/>
                <w:kern w:val="0"/>
                <w:sz w:val="32"/>
                <w:szCs w:val="32"/>
                <w:u w:val="none"/>
                <w:lang w:val="en-US" w:eastAsia="zh-CN" w:bidi="ar"/>
              </w:rPr>
              <w:t>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0" w:hRule="atLeast"/>
        </w:trPr>
        <w:tc>
          <w:tcPr>
            <w:tcW w:w="9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w:t>
            </w:r>
          </w:p>
        </w:tc>
        <w:tc>
          <w:tcPr>
            <w:tcW w:w="10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千年木</w:t>
            </w:r>
          </w:p>
        </w:tc>
        <w:tc>
          <w:tcPr>
            <w:tcW w:w="36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蓬径≥50cm 自然高≥150cm</w:t>
            </w:r>
          </w:p>
        </w:tc>
        <w:tc>
          <w:tcPr>
            <w:tcW w:w="13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2</w:t>
            </w:r>
          </w:p>
        </w:tc>
        <w:tc>
          <w:tcPr>
            <w:tcW w:w="1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0" w:hRule="atLeast"/>
        </w:trPr>
        <w:tc>
          <w:tcPr>
            <w:tcW w:w="9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2</w:t>
            </w:r>
          </w:p>
        </w:tc>
        <w:tc>
          <w:tcPr>
            <w:tcW w:w="10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鹤望兰</w:t>
            </w:r>
          </w:p>
        </w:tc>
        <w:tc>
          <w:tcPr>
            <w:tcW w:w="36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蓬径≥50cm 自然高≥150cm</w:t>
            </w:r>
          </w:p>
        </w:tc>
        <w:tc>
          <w:tcPr>
            <w:tcW w:w="13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2</w:t>
            </w:r>
          </w:p>
        </w:tc>
        <w:tc>
          <w:tcPr>
            <w:tcW w:w="1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0" w:hRule="atLeast"/>
        </w:trPr>
        <w:tc>
          <w:tcPr>
            <w:tcW w:w="9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3</w:t>
            </w:r>
          </w:p>
        </w:tc>
        <w:tc>
          <w:tcPr>
            <w:tcW w:w="10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小天使</w:t>
            </w:r>
          </w:p>
        </w:tc>
        <w:tc>
          <w:tcPr>
            <w:tcW w:w="36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冠幅≥50cm 高度≥50cm</w:t>
            </w:r>
          </w:p>
        </w:tc>
        <w:tc>
          <w:tcPr>
            <w:tcW w:w="13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2</w:t>
            </w:r>
          </w:p>
        </w:tc>
        <w:tc>
          <w:tcPr>
            <w:tcW w:w="1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0" w:hRule="atLeast"/>
        </w:trPr>
        <w:tc>
          <w:tcPr>
            <w:tcW w:w="9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4</w:t>
            </w:r>
          </w:p>
        </w:tc>
        <w:tc>
          <w:tcPr>
            <w:tcW w:w="10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黄杨球</w:t>
            </w:r>
          </w:p>
        </w:tc>
        <w:tc>
          <w:tcPr>
            <w:tcW w:w="36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冠幅≥43cm 高度≥100cm</w:t>
            </w:r>
          </w:p>
        </w:tc>
        <w:tc>
          <w:tcPr>
            <w:tcW w:w="13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4</w:t>
            </w:r>
          </w:p>
        </w:tc>
        <w:tc>
          <w:tcPr>
            <w:tcW w:w="1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0" w:hRule="atLeast"/>
        </w:trPr>
        <w:tc>
          <w:tcPr>
            <w:tcW w:w="9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5</w:t>
            </w:r>
          </w:p>
        </w:tc>
        <w:tc>
          <w:tcPr>
            <w:tcW w:w="10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幸福树</w:t>
            </w:r>
          </w:p>
        </w:tc>
        <w:tc>
          <w:tcPr>
            <w:tcW w:w="36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冠幅≥60cm 高度≥150cm</w:t>
            </w:r>
          </w:p>
        </w:tc>
        <w:tc>
          <w:tcPr>
            <w:tcW w:w="13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6</w:t>
            </w:r>
          </w:p>
        </w:tc>
        <w:tc>
          <w:tcPr>
            <w:tcW w:w="1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0" w:hRule="atLeast"/>
        </w:trPr>
        <w:tc>
          <w:tcPr>
            <w:tcW w:w="9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6</w:t>
            </w:r>
          </w:p>
        </w:tc>
        <w:tc>
          <w:tcPr>
            <w:tcW w:w="10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花叶洒金</w:t>
            </w:r>
          </w:p>
        </w:tc>
        <w:tc>
          <w:tcPr>
            <w:tcW w:w="36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冠幅≥35cm 高度≥50cm</w:t>
            </w:r>
          </w:p>
        </w:tc>
        <w:tc>
          <w:tcPr>
            <w:tcW w:w="13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6</w:t>
            </w:r>
          </w:p>
        </w:tc>
        <w:tc>
          <w:tcPr>
            <w:tcW w:w="1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0" w:hRule="atLeast"/>
        </w:trPr>
        <w:tc>
          <w:tcPr>
            <w:tcW w:w="9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7</w:t>
            </w:r>
          </w:p>
        </w:tc>
        <w:tc>
          <w:tcPr>
            <w:tcW w:w="10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厥</w:t>
            </w:r>
          </w:p>
        </w:tc>
        <w:tc>
          <w:tcPr>
            <w:tcW w:w="36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冠幅≥30cm 高度≥30cm</w:t>
            </w:r>
          </w:p>
        </w:tc>
        <w:tc>
          <w:tcPr>
            <w:tcW w:w="13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4</w:t>
            </w:r>
          </w:p>
        </w:tc>
        <w:tc>
          <w:tcPr>
            <w:tcW w:w="1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0" w:hRule="atLeast"/>
        </w:trPr>
        <w:tc>
          <w:tcPr>
            <w:tcW w:w="9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8</w:t>
            </w:r>
          </w:p>
        </w:tc>
        <w:tc>
          <w:tcPr>
            <w:tcW w:w="10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三角梅</w:t>
            </w:r>
          </w:p>
        </w:tc>
        <w:tc>
          <w:tcPr>
            <w:tcW w:w="36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冠幅≥43cm 高度≥100cm</w:t>
            </w:r>
          </w:p>
        </w:tc>
        <w:tc>
          <w:tcPr>
            <w:tcW w:w="13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6</w:t>
            </w:r>
          </w:p>
        </w:tc>
        <w:tc>
          <w:tcPr>
            <w:tcW w:w="1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0" w:hRule="atLeast"/>
        </w:trPr>
        <w:tc>
          <w:tcPr>
            <w:tcW w:w="9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9</w:t>
            </w:r>
          </w:p>
        </w:tc>
        <w:tc>
          <w:tcPr>
            <w:tcW w:w="10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变叶木</w:t>
            </w:r>
          </w:p>
        </w:tc>
        <w:tc>
          <w:tcPr>
            <w:tcW w:w="36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冠幅≥25cm 高度≥40cm</w:t>
            </w:r>
          </w:p>
        </w:tc>
        <w:tc>
          <w:tcPr>
            <w:tcW w:w="13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4</w:t>
            </w:r>
          </w:p>
        </w:tc>
        <w:tc>
          <w:tcPr>
            <w:tcW w:w="1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0" w:hRule="atLeast"/>
        </w:trPr>
        <w:tc>
          <w:tcPr>
            <w:tcW w:w="9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10</w:t>
            </w:r>
          </w:p>
        </w:tc>
        <w:tc>
          <w:tcPr>
            <w:tcW w:w="10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长春花</w:t>
            </w:r>
          </w:p>
        </w:tc>
        <w:tc>
          <w:tcPr>
            <w:tcW w:w="36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冠幅≥15cm 高度≥30cm</w:t>
            </w:r>
          </w:p>
        </w:tc>
        <w:tc>
          <w:tcPr>
            <w:tcW w:w="13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500</w:t>
            </w:r>
          </w:p>
        </w:tc>
        <w:tc>
          <w:tcPr>
            <w:tcW w:w="1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0" w:hRule="atLeast"/>
        </w:trPr>
        <w:tc>
          <w:tcPr>
            <w:tcW w:w="9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11</w:t>
            </w:r>
          </w:p>
        </w:tc>
        <w:tc>
          <w:tcPr>
            <w:tcW w:w="10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凤仙</w:t>
            </w:r>
          </w:p>
        </w:tc>
        <w:tc>
          <w:tcPr>
            <w:tcW w:w="36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冠幅≥15cm 高度≥30cm</w:t>
            </w:r>
          </w:p>
        </w:tc>
        <w:tc>
          <w:tcPr>
            <w:tcW w:w="13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500</w:t>
            </w:r>
          </w:p>
        </w:tc>
        <w:tc>
          <w:tcPr>
            <w:tcW w:w="1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0" w:hRule="atLeast"/>
        </w:trPr>
        <w:tc>
          <w:tcPr>
            <w:tcW w:w="9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12</w:t>
            </w:r>
          </w:p>
        </w:tc>
        <w:tc>
          <w:tcPr>
            <w:tcW w:w="10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赤壁</w:t>
            </w:r>
          </w:p>
        </w:tc>
        <w:tc>
          <w:tcPr>
            <w:tcW w:w="36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冠幅≥15cm 高度≥30cm</w:t>
            </w:r>
          </w:p>
        </w:tc>
        <w:tc>
          <w:tcPr>
            <w:tcW w:w="13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500</w:t>
            </w:r>
          </w:p>
        </w:tc>
        <w:tc>
          <w:tcPr>
            <w:tcW w:w="1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0" w:hRule="atLeast"/>
        </w:trPr>
        <w:tc>
          <w:tcPr>
            <w:tcW w:w="9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13</w:t>
            </w:r>
          </w:p>
        </w:tc>
        <w:tc>
          <w:tcPr>
            <w:tcW w:w="10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夏瑾</w:t>
            </w:r>
          </w:p>
        </w:tc>
        <w:tc>
          <w:tcPr>
            <w:tcW w:w="36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冠幅≥15cm 高度≥30cm</w:t>
            </w:r>
          </w:p>
        </w:tc>
        <w:tc>
          <w:tcPr>
            <w:tcW w:w="136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500</w:t>
            </w:r>
          </w:p>
        </w:tc>
        <w:tc>
          <w:tcPr>
            <w:tcW w:w="14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0" w:hRule="atLeast"/>
        </w:trPr>
        <w:tc>
          <w:tcPr>
            <w:tcW w:w="9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14</w:t>
            </w:r>
          </w:p>
        </w:tc>
        <w:tc>
          <w:tcPr>
            <w:tcW w:w="7515"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更换、浇水、修剪打草、施肥、乔木灌木养护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0" w:hRule="atLeast"/>
        </w:trPr>
        <w:tc>
          <w:tcPr>
            <w:tcW w:w="9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kern w:val="0"/>
                <w:sz w:val="32"/>
                <w:szCs w:val="32"/>
                <w:u w:val="none"/>
                <w:lang w:val="en-US" w:eastAsia="zh-CN" w:bidi="ar"/>
              </w:rPr>
            </w:pPr>
            <w:r>
              <w:rPr>
                <w:rFonts w:hint="eastAsia" w:ascii="仿宋_GB2312" w:hAnsi="仿宋_GB2312" w:eastAsia="仿宋_GB2312" w:cs="仿宋_GB2312"/>
                <w:i w:val="0"/>
                <w:color w:val="000000"/>
                <w:kern w:val="0"/>
                <w:sz w:val="32"/>
                <w:szCs w:val="32"/>
                <w:u w:val="none"/>
                <w:lang w:val="en-US" w:eastAsia="zh-CN" w:bidi="ar"/>
              </w:rPr>
              <w:t>15</w:t>
            </w:r>
          </w:p>
        </w:tc>
        <w:tc>
          <w:tcPr>
            <w:tcW w:w="7515"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kern w:val="0"/>
                <w:sz w:val="32"/>
                <w:szCs w:val="32"/>
                <w:u w:val="none"/>
                <w:lang w:val="en-US" w:eastAsia="zh-CN" w:bidi="ar"/>
              </w:rPr>
            </w:pPr>
            <w:r>
              <w:rPr>
                <w:rFonts w:hint="eastAsia" w:ascii="仿宋_GB2312" w:hAnsi="仿宋_GB2312" w:eastAsia="仿宋_GB2312" w:cs="仿宋_GB2312"/>
                <w:i w:val="0"/>
                <w:color w:val="000000"/>
                <w:kern w:val="0"/>
                <w:sz w:val="32"/>
                <w:szCs w:val="32"/>
                <w:u w:val="none"/>
                <w:lang w:val="en-US" w:eastAsia="zh-CN" w:bidi="ar"/>
              </w:rPr>
              <w:t>部分办公室阳台花草修剪、养护</w:t>
            </w:r>
          </w:p>
        </w:tc>
      </w:tr>
    </w:tbl>
    <w:p>
      <w:pPr>
        <w:keepNext w:val="0"/>
        <w:keepLines w:val="0"/>
        <w:pageBreakBefore w:val="0"/>
        <w:widowControl/>
        <w:shd w:val="clear" w:color="auto" w:fill="FFFFFF"/>
        <w:kinsoku/>
        <w:wordWrap/>
        <w:overflowPunct/>
        <w:topLinePunct w:val="0"/>
        <w:autoSpaceDE/>
        <w:autoSpaceDN/>
        <w:bidi w:val="0"/>
        <w:adjustRightInd/>
        <w:snapToGrid/>
        <w:spacing w:after="0" w:line="600" w:lineRule="exact"/>
        <w:jc w:val="left"/>
        <w:rPr>
          <w:rFonts w:hint="eastAsia" w:ascii="仿宋_GB2312" w:hAnsi="仿宋_GB2312" w:eastAsia="仿宋_GB2312" w:cs="仿宋_GB2312"/>
          <w:kern w:val="0"/>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after="0" w:line="600" w:lineRule="exact"/>
        <w:jc w:val="left"/>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lang w:eastAsia="zh-CN"/>
        </w:rPr>
        <w:t>（一）</w:t>
      </w:r>
      <w:r>
        <w:rPr>
          <w:rFonts w:hint="eastAsia" w:ascii="仿宋_GB2312" w:hAnsi="仿宋_GB2312" w:eastAsia="仿宋_GB2312" w:cs="仿宋_GB2312"/>
          <w:b/>
          <w:bCs/>
          <w:kern w:val="0"/>
          <w:sz w:val="32"/>
          <w:szCs w:val="32"/>
        </w:rPr>
        <w:t>服务期</w:t>
      </w:r>
      <w:r>
        <w:rPr>
          <w:rFonts w:hint="eastAsia" w:ascii="仿宋_GB2312" w:hAnsi="仿宋_GB2312" w:eastAsia="仿宋_GB2312" w:cs="仿宋_GB2312"/>
          <w:b/>
          <w:bCs/>
          <w:kern w:val="0"/>
          <w:sz w:val="32"/>
          <w:szCs w:val="32"/>
          <w:lang w:val="en-US" w:eastAsia="zh-CN"/>
        </w:rPr>
        <w:t>1</w:t>
      </w:r>
      <w:r>
        <w:rPr>
          <w:rFonts w:hint="eastAsia" w:ascii="仿宋_GB2312" w:hAnsi="仿宋_GB2312" w:eastAsia="仿宋_GB2312" w:cs="仿宋_GB2312"/>
          <w:b/>
          <w:bCs/>
          <w:kern w:val="0"/>
          <w:sz w:val="32"/>
          <w:szCs w:val="32"/>
        </w:rPr>
        <w:t>年，各投标人在投标文件报价部分分项报价表中应对每一个产品进行详细报价,中标人按采购人的实际供货的品种及数量结算。</w:t>
      </w:r>
    </w:p>
    <w:p>
      <w:pPr>
        <w:keepNext w:val="0"/>
        <w:keepLines w:val="0"/>
        <w:pageBreakBefore w:val="0"/>
        <w:widowControl/>
        <w:shd w:val="clear" w:color="auto" w:fill="FFFFFF"/>
        <w:kinsoku/>
        <w:wordWrap/>
        <w:overflowPunct/>
        <w:topLinePunct w:val="0"/>
        <w:autoSpaceDE/>
        <w:autoSpaceDN/>
        <w:bidi w:val="0"/>
        <w:adjustRightInd/>
        <w:snapToGrid/>
        <w:spacing w:after="0" w:line="60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lang w:eastAsia="zh-CN"/>
        </w:rPr>
        <w:t>（二）</w:t>
      </w:r>
      <w:r>
        <w:rPr>
          <w:rFonts w:hint="eastAsia" w:ascii="仿宋_GB2312" w:hAnsi="仿宋_GB2312" w:eastAsia="仿宋_GB2312" w:cs="仿宋_GB2312"/>
          <w:b/>
          <w:bCs/>
          <w:kern w:val="0"/>
          <w:sz w:val="32"/>
          <w:szCs w:val="32"/>
        </w:rPr>
        <w:t>本项目为</w:t>
      </w:r>
      <w:r>
        <w:rPr>
          <w:rFonts w:hint="eastAsia" w:ascii="仿宋_GB2312" w:hAnsi="仿宋_GB2312" w:eastAsia="仿宋_GB2312" w:cs="仿宋_GB2312"/>
          <w:b/>
          <w:bCs/>
          <w:kern w:val="0"/>
          <w:sz w:val="32"/>
          <w:szCs w:val="32"/>
          <w:lang w:eastAsia="zh-CN"/>
        </w:rPr>
        <w:t>单</w:t>
      </w:r>
      <w:r>
        <w:rPr>
          <w:rFonts w:hint="eastAsia" w:ascii="仿宋_GB2312" w:hAnsi="仿宋_GB2312" w:eastAsia="仿宋_GB2312" w:cs="仿宋_GB2312"/>
          <w:b/>
          <w:bCs/>
          <w:kern w:val="0"/>
          <w:sz w:val="32"/>
          <w:szCs w:val="32"/>
        </w:rPr>
        <w:t>价招标，具体供货品种及数量以采购人需求为准。</w:t>
      </w:r>
    </w:p>
    <w:p>
      <w:pPr>
        <w:keepNext w:val="0"/>
        <w:keepLines w:val="0"/>
        <w:pageBreakBefore w:val="0"/>
        <w:widowControl/>
        <w:shd w:val="clear" w:color="auto" w:fill="FFFFFF"/>
        <w:kinsoku/>
        <w:wordWrap/>
        <w:overflowPunct/>
        <w:topLinePunct w:val="0"/>
        <w:autoSpaceDE/>
        <w:autoSpaceDN/>
        <w:bidi w:val="0"/>
        <w:adjustRightInd/>
        <w:snapToGrid/>
        <w:spacing w:after="0" w:line="60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lang w:eastAsia="zh-CN"/>
        </w:rPr>
        <w:t>（三）</w:t>
      </w:r>
      <w:r>
        <w:rPr>
          <w:rFonts w:hint="eastAsia" w:ascii="仿宋_GB2312" w:hAnsi="仿宋_GB2312" w:eastAsia="仿宋_GB2312" w:cs="仿宋_GB2312"/>
          <w:b/>
          <w:bCs/>
          <w:kern w:val="0"/>
          <w:sz w:val="32"/>
          <w:szCs w:val="32"/>
        </w:rPr>
        <w:t>合同包中采购的具体标的，采购人有权按需、分批、分期、选择性采购。</w:t>
      </w:r>
    </w:p>
    <w:p>
      <w:pPr>
        <w:keepNext w:val="0"/>
        <w:keepLines w:val="0"/>
        <w:pageBreakBefore w:val="0"/>
        <w:widowControl/>
        <w:shd w:val="clear" w:color="auto" w:fill="FFFFFF"/>
        <w:kinsoku/>
        <w:wordWrap/>
        <w:overflowPunct/>
        <w:topLinePunct w:val="0"/>
        <w:autoSpaceDE/>
        <w:autoSpaceDN/>
        <w:bidi w:val="0"/>
        <w:adjustRightInd/>
        <w:snapToGrid/>
        <w:spacing w:after="0" w:line="600" w:lineRule="exact"/>
        <w:jc w:val="left"/>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lang w:eastAsia="zh-CN"/>
        </w:rPr>
        <w:t>（四）</w:t>
      </w:r>
      <w:r>
        <w:rPr>
          <w:rFonts w:hint="eastAsia" w:ascii="仿宋_GB2312" w:hAnsi="仿宋_GB2312" w:eastAsia="仿宋_GB2312" w:cs="仿宋_GB2312"/>
          <w:b/>
          <w:bCs/>
          <w:kern w:val="0"/>
          <w:sz w:val="32"/>
          <w:szCs w:val="32"/>
        </w:rPr>
        <w:t>投标人的报价要求：投标人须在报价表中列出所投货物的具体单价，所报</w:t>
      </w:r>
      <w:r>
        <w:rPr>
          <w:rFonts w:hint="eastAsia" w:ascii="仿宋_GB2312" w:hAnsi="仿宋_GB2312" w:eastAsia="仿宋_GB2312" w:cs="仿宋_GB2312"/>
          <w:b/>
          <w:bCs/>
          <w:kern w:val="0"/>
          <w:sz w:val="32"/>
          <w:szCs w:val="32"/>
          <w:lang w:eastAsia="zh-CN"/>
        </w:rPr>
        <w:t>总</w:t>
      </w:r>
      <w:r>
        <w:rPr>
          <w:rFonts w:hint="eastAsia" w:ascii="仿宋_GB2312" w:hAnsi="仿宋_GB2312" w:eastAsia="仿宋_GB2312" w:cs="仿宋_GB2312"/>
          <w:b/>
          <w:bCs/>
          <w:kern w:val="0"/>
          <w:sz w:val="32"/>
          <w:szCs w:val="32"/>
        </w:rPr>
        <w:t>价格不得超过</w:t>
      </w:r>
      <w:r>
        <w:rPr>
          <w:rFonts w:hint="eastAsia" w:ascii="仿宋_GB2312" w:hAnsi="仿宋_GB2312" w:eastAsia="仿宋_GB2312" w:cs="仿宋_GB2312"/>
          <w:b/>
          <w:bCs/>
          <w:kern w:val="0"/>
          <w:sz w:val="32"/>
          <w:szCs w:val="32"/>
          <w:lang w:val="en-US" w:eastAsia="zh-CN"/>
        </w:rPr>
        <w:t>8303元/月</w:t>
      </w:r>
      <w:r>
        <w:rPr>
          <w:rFonts w:hint="eastAsia" w:ascii="仿宋_GB2312" w:hAnsi="仿宋_GB2312" w:eastAsia="仿宋_GB2312" w:cs="仿宋_GB2312"/>
          <w:b/>
          <w:bCs/>
          <w:kern w:val="0"/>
          <w:sz w:val="32"/>
          <w:szCs w:val="32"/>
        </w:rPr>
        <w:t>的最高限价。未按上述要求进行报价的，视为报价部分符合性审查不合格，按无效投标处理。</w:t>
      </w:r>
    </w:p>
    <w:p>
      <w:pPr>
        <w:keepNext w:val="0"/>
        <w:keepLines w:val="0"/>
        <w:pageBreakBefore w:val="0"/>
        <w:widowControl/>
        <w:kinsoku/>
        <w:wordWrap/>
        <w:overflowPunct/>
        <w:topLinePunct w:val="0"/>
        <w:autoSpaceDE/>
        <w:autoSpaceDN/>
        <w:bidi w:val="0"/>
        <w:adjustRightInd/>
        <w:snapToGrid/>
        <w:spacing w:after="0" w:line="600" w:lineRule="exact"/>
        <w:jc w:val="left"/>
        <w:rPr>
          <w:rFonts w:hint="eastAsia" w:ascii="仿宋_GB2312" w:hAnsi="仿宋_GB2312" w:eastAsia="仿宋_GB2312" w:cs="仿宋_GB2312"/>
          <w:b/>
          <w:kern w:val="0"/>
          <w:sz w:val="32"/>
          <w:szCs w:val="32"/>
        </w:rPr>
      </w:pPr>
    </w:p>
    <w:p>
      <w:pPr>
        <w:keepNext w:val="0"/>
        <w:keepLines w:val="0"/>
        <w:pageBreakBefore w:val="0"/>
        <w:widowControl/>
        <w:kinsoku/>
        <w:wordWrap/>
        <w:overflowPunct/>
        <w:topLinePunct w:val="0"/>
        <w:autoSpaceDE/>
        <w:autoSpaceDN/>
        <w:bidi w:val="0"/>
        <w:adjustRightInd/>
        <w:snapToGrid/>
        <w:spacing w:after="0" w:line="600" w:lineRule="exact"/>
        <w:jc w:val="lef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三、服务要求</w:t>
      </w:r>
    </w:p>
    <w:p>
      <w:pPr>
        <w:keepNext w:val="0"/>
        <w:keepLines w:val="0"/>
        <w:pageBreakBefore w:val="0"/>
        <w:kinsoku/>
        <w:wordWrap/>
        <w:overflowPunct/>
        <w:topLinePunct w:val="0"/>
        <w:autoSpaceDE/>
        <w:autoSpaceDN/>
        <w:bidi w:val="0"/>
        <w:adjustRightInd/>
        <w:snapToGrid/>
        <w:spacing w:after="0"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1.植物要求</w:t>
      </w:r>
    </w:p>
    <w:p>
      <w:pPr>
        <w:keepNext w:val="0"/>
        <w:keepLines w:val="0"/>
        <w:pageBreakBefore w:val="0"/>
        <w:kinsoku/>
        <w:wordWrap/>
        <w:overflowPunct/>
        <w:topLinePunct w:val="0"/>
        <w:autoSpaceDE/>
        <w:autoSpaceDN/>
        <w:bidi w:val="0"/>
        <w:adjustRightInd/>
        <w:snapToGrid/>
        <w:spacing w:after="0"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（1）花卉绿植植株生长健壮、无病虫害；叶形完整、叶色正常、无撕裂、折损、穿孔、缺损等损伤；叶片的边缘或先端无枯萎或焦边；株形整齐，有茎叶、不缺角、无歪斜倒伏；花枝分布均匀；植株达到满盆。</w:t>
      </w:r>
    </w:p>
    <w:p>
      <w:pPr>
        <w:keepNext w:val="0"/>
        <w:keepLines w:val="0"/>
        <w:pageBreakBefore w:val="0"/>
        <w:kinsoku/>
        <w:wordWrap/>
        <w:overflowPunct/>
        <w:topLinePunct w:val="0"/>
        <w:autoSpaceDE/>
        <w:autoSpaceDN/>
        <w:bidi w:val="0"/>
        <w:adjustRightInd/>
        <w:snapToGrid/>
        <w:spacing w:after="0"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（2）花卉绿植的底盘、花盆、器皿应合理配套，覆盖陶粒/青苔等遮盖物；底盘、花盆、器皿的颜色搭配合理；做到进场无损坏残缺花盆。</w:t>
      </w:r>
    </w:p>
    <w:p>
      <w:pPr>
        <w:keepNext w:val="0"/>
        <w:keepLines w:val="0"/>
        <w:pageBreakBefore w:val="0"/>
        <w:kinsoku/>
        <w:wordWrap/>
        <w:overflowPunct/>
        <w:topLinePunct w:val="0"/>
        <w:autoSpaceDE/>
        <w:autoSpaceDN/>
        <w:bidi w:val="0"/>
        <w:adjustRightInd/>
        <w:snapToGrid/>
        <w:spacing w:after="0"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（3）观叶植物观赏叶片少于植株1/3以上，植株有严重枯萎生长不良，影响美观；植株有严重病虫害；植物不适应摆放的环境产生落叶等症状。凡有以上情况的，需对植物进行更换。</w:t>
      </w:r>
    </w:p>
    <w:p>
      <w:pPr>
        <w:keepNext w:val="0"/>
        <w:keepLines w:val="0"/>
        <w:pageBreakBefore w:val="0"/>
        <w:kinsoku/>
        <w:wordWrap/>
        <w:overflowPunct/>
        <w:topLinePunct w:val="0"/>
        <w:autoSpaceDE/>
        <w:autoSpaceDN/>
        <w:bidi w:val="0"/>
        <w:adjustRightInd/>
        <w:snapToGrid/>
        <w:spacing w:after="0"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2.服务要求</w:t>
      </w:r>
    </w:p>
    <w:p>
      <w:pPr>
        <w:keepNext w:val="0"/>
        <w:keepLines w:val="0"/>
        <w:pageBreakBefore w:val="0"/>
        <w:kinsoku/>
        <w:wordWrap/>
        <w:overflowPunct/>
        <w:topLinePunct w:val="0"/>
        <w:autoSpaceDE/>
        <w:autoSpaceDN/>
        <w:bidi w:val="0"/>
        <w:adjustRightInd/>
        <w:snapToGrid/>
        <w:spacing w:after="0"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（1）供应商需按我厅的要求种植到指定位置，所有提供植物盆栽和苗木需包活一个月，枯萎免费更换。</w:t>
      </w:r>
    </w:p>
    <w:p>
      <w:pPr>
        <w:keepNext w:val="0"/>
        <w:keepLines w:val="0"/>
        <w:pageBreakBefore w:val="0"/>
        <w:kinsoku/>
        <w:wordWrap/>
        <w:overflowPunct/>
        <w:topLinePunct w:val="0"/>
        <w:autoSpaceDE/>
        <w:autoSpaceDN/>
        <w:bidi w:val="0"/>
        <w:adjustRightInd/>
        <w:snapToGrid/>
        <w:spacing w:after="0"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（2）供应商需根据我厅的需求进行分批次配送，每次采购数量以我厅通知的为准，供应商需在24小时内将订单内的植物盆栽和苗木送达我厅指定地点。</w:t>
      </w:r>
    </w:p>
    <w:p>
      <w:pPr>
        <w:keepNext w:val="0"/>
        <w:keepLines w:val="0"/>
        <w:pageBreakBefore w:val="0"/>
        <w:kinsoku/>
        <w:wordWrap/>
        <w:overflowPunct/>
        <w:topLinePunct w:val="0"/>
        <w:autoSpaceDE/>
        <w:autoSpaceDN/>
        <w:bidi w:val="0"/>
        <w:adjustRightInd/>
        <w:snapToGrid/>
        <w:spacing w:after="0"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（3）成交供应商需考虑在合同履行过程中可能会发生的突发情况提供相应的应急方案，及时做好特殊应急情况的供货服务。</w:t>
      </w:r>
    </w:p>
    <w:p>
      <w:pPr>
        <w:keepNext w:val="0"/>
        <w:keepLines w:val="0"/>
        <w:pageBreakBefore w:val="0"/>
        <w:kinsoku/>
        <w:wordWrap/>
        <w:overflowPunct/>
        <w:topLinePunct w:val="0"/>
        <w:autoSpaceDE/>
        <w:autoSpaceDN/>
        <w:bidi w:val="0"/>
        <w:adjustRightInd/>
        <w:snapToGrid/>
        <w:spacing w:after="0"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（4）成交供应商需配合我厅政策性的特殊工作要求，如上级检查、领导视查等应积极服从配合我厅对绿植苗木等进行更换及养护。</w:t>
      </w:r>
    </w:p>
    <w:p>
      <w:pPr>
        <w:keepNext w:val="0"/>
        <w:keepLines w:val="0"/>
        <w:pageBreakBefore w:val="0"/>
        <w:kinsoku/>
        <w:wordWrap/>
        <w:overflowPunct/>
        <w:topLinePunct w:val="0"/>
        <w:autoSpaceDE/>
        <w:autoSpaceDN/>
        <w:bidi w:val="0"/>
        <w:adjustRightInd/>
        <w:snapToGrid/>
        <w:spacing w:after="0"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（5）供应商负责派专业人员根据每种绿植的特征定期进行浇水、施肥、培养、修剪枝杈、防治病虫害，并根据我厅的意见调整绿植的室内摆放位置。</w:t>
      </w:r>
    </w:p>
    <w:p>
      <w:pPr>
        <w:keepNext w:val="0"/>
        <w:keepLines w:val="0"/>
        <w:pageBreakBefore w:val="0"/>
        <w:kinsoku/>
        <w:wordWrap/>
        <w:overflowPunct/>
        <w:topLinePunct w:val="0"/>
        <w:autoSpaceDE/>
        <w:autoSpaceDN/>
        <w:bidi w:val="0"/>
        <w:adjustRightInd/>
        <w:snapToGrid/>
        <w:spacing w:after="0"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（6）供应商根据绿植状态进行调整，需要更换的绿植三个工作日内调整到位，保持环境美观（可根据合同规定的同等规格或同等价位产品进行调整）。</w:t>
      </w:r>
    </w:p>
    <w:p>
      <w:pPr>
        <w:keepNext w:val="0"/>
        <w:keepLines w:val="0"/>
        <w:pageBreakBefore w:val="0"/>
        <w:kinsoku/>
        <w:wordWrap/>
        <w:overflowPunct/>
        <w:topLinePunct w:val="0"/>
        <w:autoSpaceDE/>
        <w:autoSpaceDN/>
        <w:bidi w:val="0"/>
        <w:adjustRightInd/>
        <w:snapToGrid/>
        <w:spacing w:after="0"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（7）供应商应遵守我厅的规章制度，不进入我厅没有摆放绿植的区域，不做与绿植摆放业务无关的工作。</w:t>
      </w:r>
    </w:p>
    <w:p>
      <w:pPr>
        <w:keepNext w:val="0"/>
        <w:keepLines w:val="0"/>
        <w:pageBreakBefore w:val="0"/>
        <w:kinsoku/>
        <w:wordWrap/>
        <w:overflowPunct/>
        <w:topLinePunct w:val="0"/>
        <w:autoSpaceDE/>
        <w:autoSpaceDN/>
        <w:bidi w:val="0"/>
        <w:adjustRightInd/>
        <w:snapToGrid/>
        <w:spacing w:after="0"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（8）供应商工作人员在摆放植物及日常维护时要保持我厅环境整洁，如有过失损坏我厅设施，按市场价格赔偿。</w:t>
      </w:r>
    </w:p>
    <w:p>
      <w:pPr>
        <w:keepNext w:val="0"/>
        <w:keepLines w:val="0"/>
        <w:pageBreakBefore w:val="0"/>
        <w:kinsoku/>
        <w:wordWrap/>
        <w:overflowPunct/>
        <w:topLinePunct w:val="0"/>
        <w:autoSpaceDE/>
        <w:autoSpaceDN/>
        <w:bidi w:val="0"/>
        <w:adjustRightInd/>
        <w:snapToGrid/>
        <w:spacing w:after="0"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（9）每季度根据供应商的考核情况支付服务费，在当季度服务中，若出现重大错误将给予书面警告，警告一次扣5分，当季度累计三次警告视为当季度考核“不合格”。</w:t>
      </w:r>
    </w:p>
    <w:p>
      <w:pPr>
        <w:keepNext w:val="0"/>
        <w:keepLines w:val="0"/>
        <w:pageBreakBefore w:val="0"/>
        <w:kinsoku/>
        <w:wordWrap/>
        <w:overflowPunct/>
        <w:topLinePunct w:val="0"/>
        <w:autoSpaceDE/>
        <w:autoSpaceDN/>
        <w:bidi w:val="0"/>
        <w:adjustRightInd/>
        <w:snapToGrid/>
        <w:spacing w:after="0"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（10）完成其它根据我厅需要交办的事宜。</w:t>
      </w:r>
    </w:p>
    <w:p>
      <w:pPr>
        <w:keepNext w:val="0"/>
        <w:keepLines w:val="0"/>
        <w:pageBreakBefore w:val="0"/>
        <w:kinsoku/>
        <w:wordWrap/>
        <w:overflowPunct/>
        <w:topLinePunct w:val="0"/>
        <w:autoSpaceDE/>
        <w:autoSpaceDN/>
        <w:bidi w:val="0"/>
        <w:adjustRightInd/>
        <w:snapToGrid/>
        <w:spacing w:after="0"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3.考核标准</w:t>
      </w:r>
    </w:p>
    <w:tbl>
      <w:tblPr>
        <w:tblStyle w:val="5"/>
        <w:tblW w:w="86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47"/>
        <w:gridCol w:w="4680"/>
        <w:gridCol w:w="29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20" w:hRule="atLeast"/>
        </w:trPr>
        <w:tc>
          <w:tcPr>
            <w:tcW w:w="8640" w:type="dxa"/>
            <w:gridSpan w:val="3"/>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b/>
                <w:i w:val="0"/>
                <w:color w:val="000000"/>
                <w:sz w:val="32"/>
                <w:szCs w:val="32"/>
                <w:u w:val="none"/>
              </w:rPr>
            </w:pPr>
            <w:r>
              <w:rPr>
                <w:rFonts w:hint="eastAsia" w:ascii="仿宋_GB2312" w:hAnsi="仿宋_GB2312" w:eastAsia="仿宋_GB2312" w:cs="仿宋_GB2312"/>
                <w:b/>
                <w:i w:val="0"/>
                <w:color w:val="000000"/>
                <w:kern w:val="0"/>
                <w:sz w:val="32"/>
                <w:szCs w:val="32"/>
                <w:u w:val="none"/>
                <w:lang w:val="en-US" w:eastAsia="zh-CN" w:bidi="ar"/>
              </w:rPr>
              <w:t>考核标准和考核项目表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660" w:hRule="atLeast"/>
        </w:trPr>
        <w:tc>
          <w:tcPr>
            <w:tcW w:w="8640"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项目单位每季度综合评定一次，综合评定结果分为优良、合格、不合格三个等级，</w:t>
            </w:r>
            <w:bookmarkStart w:id="0" w:name="_GoBack"/>
            <w:bookmarkEnd w:id="0"/>
            <w:r>
              <w:rPr>
                <w:rFonts w:hint="eastAsia" w:ascii="仿宋_GB2312" w:hAnsi="仿宋_GB2312" w:eastAsia="仿宋_GB2312" w:cs="仿宋_GB2312"/>
                <w:i w:val="0"/>
                <w:color w:val="000000"/>
                <w:kern w:val="0"/>
                <w:sz w:val="32"/>
                <w:szCs w:val="32"/>
                <w:u w:val="none"/>
                <w:lang w:val="en-US" w:eastAsia="zh-CN" w:bidi="ar"/>
              </w:rPr>
              <w:t>检查得分 90 分（含 90 分）以上的评定为优良，支付当季度100%服务费；检查得分 89-80 分（含80分）的评定为合格，支付当季度90%服务费；检查得分 80 分以下的评定为不合格，支付当季度50%服务费，连续两个季度评定为不合格的，中止合同。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0" w:hRule="atLeast"/>
        </w:trPr>
        <w:tc>
          <w:tcPr>
            <w:tcW w:w="1047" w:type="dxa"/>
            <w:tcBorders>
              <w:top w:val="nil"/>
              <w:left w:val="single" w:color="000000" w:sz="8" w:space="0"/>
              <w:bottom w:val="single" w:color="000000" w:sz="8" w:space="0"/>
              <w:right w:val="single" w:color="000000" w:sz="8" w:space="0"/>
            </w:tcBorders>
            <w:noWrap w:val="0"/>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top"/>
              <w:rPr>
                <w:rFonts w:hint="eastAsia" w:ascii="仿宋_GB2312" w:hAnsi="仿宋_GB2312" w:eastAsia="仿宋_GB2312" w:cs="仿宋_GB2312"/>
                <w:b/>
                <w:i w:val="0"/>
                <w:color w:val="000000"/>
                <w:sz w:val="32"/>
                <w:szCs w:val="32"/>
                <w:u w:val="none"/>
              </w:rPr>
            </w:pPr>
            <w:r>
              <w:rPr>
                <w:rFonts w:hint="eastAsia" w:ascii="仿宋_GB2312" w:hAnsi="仿宋_GB2312" w:eastAsia="仿宋_GB2312" w:cs="仿宋_GB2312"/>
                <w:b/>
                <w:i w:val="0"/>
                <w:color w:val="000000"/>
                <w:kern w:val="0"/>
                <w:sz w:val="32"/>
                <w:szCs w:val="32"/>
                <w:u w:val="none"/>
                <w:lang w:val="en-US" w:eastAsia="zh-CN" w:bidi="ar"/>
              </w:rPr>
              <w:t>项目</w:t>
            </w:r>
          </w:p>
        </w:tc>
        <w:tc>
          <w:tcPr>
            <w:tcW w:w="4680" w:type="dxa"/>
            <w:tcBorders>
              <w:top w:val="nil"/>
              <w:left w:val="nil"/>
              <w:bottom w:val="single" w:color="000000" w:sz="8" w:space="0"/>
              <w:right w:val="single" w:color="000000" w:sz="8" w:space="0"/>
            </w:tcBorders>
            <w:noWrap w:val="0"/>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b/>
                <w:i w:val="0"/>
                <w:color w:val="000000"/>
                <w:sz w:val="32"/>
                <w:szCs w:val="32"/>
                <w:u w:val="none"/>
              </w:rPr>
            </w:pPr>
            <w:r>
              <w:rPr>
                <w:rFonts w:hint="eastAsia" w:ascii="仿宋_GB2312" w:hAnsi="仿宋_GB2312" w:eastAsia="仿宋_GB2312" w:cs="仿宋_GB2312"/>
                <w:b/>
                <w:i w:val="0"/>
                <w:color w:val="000000"/>
                <w:kern w:val="0"/>
                <w:sz w:val="32"/>
                <w:szCs w:val="32"/>
                <w:u w:val="none"/>
                <w:lang w:val="en-US" w:eastAsia="zh-CN" w:bidi="ar"/>
              </w:rPr>
              <w:t>考核标准</w:t>
            </w:r>
          </w:p>
        </w:tc>
        <w:tc>
          <w:tcPr>
            <w:tcW w:w="2913" w:type="dxa"/>
            <w:tcBorders>
              <w:top w:val="nil"/>
              <w:left w:val="nil"/>
              <w:bottom w:val="single" w:color="000000" w:sz="8" w:space="0"/>
              <w:right w:val="single" w:color="000000" w:sz="8" w:space="0"/>
            </w:tcBorders>
            <w:noWrap w:val="0"/>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b/>
                <w:i w:val="0"/>
                <w:color w:val="000000"/>
                <w:sz w:val="32"/>
                <w:szCs w:val="32"/>
                <w:u w:val="none"/>
              </w:rPr>
            </w:pPr>
            <w:r>
              <w:rPr>
                <w:rFonts w:hint="eastAsia" w:ascii="仿宋_GB2312" w:hAnsi="仿宋_GB2312" w:eastAsia="仿宋_GB2312" w:cs="仿宋_GB2312"/>
                <w:b/>
                <w:i w:val="0"/>
                <w:color w:val="000000"/>
                <w:kern w:val="0"/>
                <w:sz w:val="32"/>
                <w:szCs w:val="32"/>
                <w:u w:val="none"/>
                <w:lang w:val="en-US" w:eastAsia="zh-CN" w:bidi="ar"/>
              </w:rPr>
              <w:t>扣分标准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0" w:hRule="atLeast"/>
        </w:trPr>
        <w:tc>
          <w:tcPr>
            <w:tcW w:w="1047" w:type="dxa"/>
            <w:vMerge w:val="restart"/>
            <w:tcBorders>
              <w:top w:val="nil"/>
              <w:left w:val="single" w:color="000000" w:sz="8" w:space="0"/>
              <w:right w:val="single" w:color="000000" w:sz="8" w:space="0"/>
            </w:tcBorders>
            <w:noWrap w:val="0"/>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both"/>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劳动纪律</w:t>
            </w:r>
          </w:p>
        </w:tc>
        <w:tc>
          <w:tcPr>
            <w:tcW w:w="4680" w:type="dxa"/>
            <w:tcBorders>
              <w:top w:val="nil"/>
              <w:left w:val="nil"/>
              <w:bottom w:val="single" w:color="000000" w:sz="8" w:space="0"/>
              <w:right w:val="single" w:color="000000" w:sz="8" w:space="0"/>
            </w:tcBorders>
            <w:noWrap w:val="0"/>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1、遵守甲方的各项规章制度</w:t>
            </w:r>
          </w:p>
        </w:tc>
        <w:tc>
          <w:tcPr>
            <w:tcW w:w="2913" w:type="dxa"/>
            <w:tcBorders>
              <w:top w:val="nil"/>
              <w:left w:val="nil"/>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1047" w:type="dxa"/>
            <w:vMerge w:val="continue"/>
            <w:tcBorders>
              <w:left w:val="single" w:color="000000" w:sz="8" w:space="0"/>
              <w:right w:val="single" w:color="000000" w:sz="8" w:space="0"/>
            </w:tcBorders>
            <w:noWrap w:val="0"/>
            <w:vAlign w:val="top"/>
          </w:tcPr>
          <w:p>
            <w:pPr>
              <w:keepNext w:val="0"/>
              <w:keepLines w:val="0"/>
              <w:pageBreakBefore w:val="0"/>
              <w:kinsoku/>
              <w:wordWrap/>
              <w:overflowPunct/>
              <w:topLinePunct w:val="0"/>
              <w:autoSpaceDE/>
              <w:autoSpaceDN/>
              <w:bidi w:val="0"/>
              <w:adjustRightInd/>
              <w:snapToGrid/>
              <w:spacing w:after="0" w:line="600" w:lineRule="exact"/>
              <w:jc w:val="left"/>
              <w:rPr>
                <w:rFonts w:hint="eastAsia" w:ascii="仿宋_GB2312" w:hAnsi="仿宋_GB2312" w:eastAsia="仿宋_GB2312" w:cs="仿宋_GB2312"/>
                <w:i w:val="0"/>
                <w:color w:val="000000"/>
                <w:sz w:val="32"/>
                <w:szCs w:val="32"/>
                <w:u w:val="none"/>
              </w:rPr>
            </w:pPr>
          </w:p>
        </w:tc>
        <w:tc>
          <w:tcPr>
            <w:tcW w:w="4680" w:type="dxa"/>
            <w:tcBorders>
              <w:top w:val="nil"/>
              <w:left w:val="nil"/>
              <w:bottom w:val="single" w:color="000000" w:sz="8" w:space="0"/>
              <w:right w:val="single" w:color="000000" w:sz="8" w:space="0"/>
            </w:tcBorders>
            <w:noWrap w:val="0"/>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2、上班时间不得在服务场所无故大声喧哗、聚众聊天</w:t>
            </w:r>
          </w:p>
        </w:tc>
        <w:tc>
          <w:tcPr>
            <w:tcW w:w="2913" w:type="dxa"/>
            <w:tcBorders>
              <w:top w:val="nil"/>
              <w:left w:val="nil"/>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1047" w:type="dxa"/>
            <w:vMerge w:val="continue"/>
            <w:tcBorders>
              <w:left w:val="single" w:color="000000" w:sz="8" w:space="0"/>
              <w:right w:val="single" w:color="000000" w:sz="8" w:space="0"/>
            </w:tcBorders>
            <w:noWrap w:val="0"/>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both"/>
              <w:textAlignment w:val="top"/>
              <w:rPr>
                <w:rFonts w:hint="eastAsia" w:ascii="仿宋_GB2312" w:hAnsi="仿宋_GB2312" w:eastAsia="仿宋_GB2312" w:cs="仿宋_GB2312"/>
                <w:i w:val="0"/>
                <w:color w:val="000000"/>
                <w:sz w:val="32"/>
                <w:szCs w:val="32"/>
                <w:u w:val="none"/>
              </w:rPr>
            </w:pPr>
          </w:p>
        </w:tc>
        <w:tc>
          <w:tcPr>
            <w:tcW w:w="4680" w:type="dxa"/>
            <w:tcBorders>
              <w:top w:val="nil"/>
              <w:left w:val="nil"/>
              <w:bottom w:val="single" w:color="000000" w:sz="8" w:space="0"/>
              <w:right w:val="single" w:color="000000" w:sz="8" w:space="0"/>
            </w:tcBorders>
            <w:noWrap w:val="0"/>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3、上班时间不得在院内吸烟、喝酒和酒后上岗</w:t>
            </w:r>
          </w:p>
        </w:tc>
        <w:tc>
          <w:tcPr>
            <w:tcW w:w="2913" w:type="dxa"/>
            <w:tcBorders>
              <w:top w:val="nil"/>
              <w:left w:val="nil"/>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420" w:hRule="atLeast"/>
        </w:trPr>
        <w:tc>
          <w:tcPr>
            <w:tcW w:w="1047" w:type="dxa"/>
            <w:vMerge w:val="continue"/>
            <w:tcBorders>
              <w:left w:val="single" w:color="000000" w:sz="8" w:space="0"/>
              <w:right w:val="single" w:color="000000" w:sz="8" w:space="0"/>
            </w:tcBorders>
            <w:noWrap/>
            <w:vAlign w:val="center"/>
          </w:tcPr>
          <w:p>
            <w:pPr>
              <w:keepNext w:val="0"/>
              <w:keepLines w:val="0"/>
              <w:pageBreakBefore w:val="0"/>
              <w:kinsoku/>
              <w:wordWrap/>
              <w:overflowPunct/>
              <w:topLinePunct w:val="0"/>
              <w:autoSpaceDE/>
              <w:autoSpaceDN/>
              <w:bidi w:val="0"/>
              <w:adjustRightInd/>
              <w:snapToGrid/>
              <w:spacing w:after="0" w:line="600" w:lineRule="exact"/>
              <w:rPr>
                <w:rFonts w:hint="eastAsia" w:ascii="仿宋_GB2312" w:hAnsi="仿宋_GB2312" w:eastAsia="仿宋_GB2312" w:cs="仿宋_GB2312"/>
                <w:i w:val="0"/>
                <w:color w:val="000000"/>
                <w:sz w:val="32"/>
                <w:szCs w:val="32"/>
                <w:u w:val="none"/>
              </w:rPr>
            </w:pPr>
          </w:p>
        </w:tc>
        <w:tc>
          <w:tcPr>
            <w:tcW w:w="4680" w:type="dxa"/>
            <w:tcBorders>
              <w:top w:val="nil"/>
              <w:left w:val="nil"/>
              <w:bottom w:val="single" w:color="000000" w:sz="8" w:space="0"/>
              <w:right w:val="single" w:color="000000" w:sz="8" w:space="0"/>
            </w:tcBorders>
            <w:noWrap w:val="0"/>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4、上班时间不得私自对甲方工作人员提供有偿服务，严禁向甲方工作人员索要、收受礼品及小费，对甲方工作人员遗忘的物品发现后及时上交或归还失主</w:t>
            </w:r>
          </w:p>
        </w:tc>
        <w:tc>
          <w:tcPr>
            <w:tcW w:w="2913" w:type="dxa"/>
            <w:tcBorders>
              <w:top w:val="nil"/>
              <w:left w:val="nil"/>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1047" w:type="dxa"/>
            <w:vMerge w:val="continue"/>
            <w:tcBorders>
              <w:left w:val="single" w:color="000000" w:sz="8" w:space="0"/>
              <w:right w:val="single" w:color="000000" w:sz="8" w:space="0"/>
            </w:tcBorders>
            <w:noWrap/>
            <w:vAlign w:val="center"/>
          </w:tcPr>
          <w:p>
            <w:pPr>
              <w:keepNext w:val="0"/>
              <w:keepLines w:val="0"/>
              <w:pageBreakBefore w:val="0"/>
              <w:kinsoku/>
              <w:wordWrap/>
              <w:overflowPunct/>
              <w:topLinePunct w:val="0"/>
              <w:autoSpaceDE/>
              <w:autoSpaceDN/>
              <w:bidi w:val="0"/>
              <w:adjustRightInd/>
              <w:snapToGrid/>
              <w:spacing w:after="0" w:line="600" w:lineRule="exact"/>
              <w:rPr>
                <w:rFonts w:hint="eastAsia" w:ascii="仿宋_GB2312" w:hAnsi="仿宋_GB2312" w:eastAsia="仿宋_GB2312" w:cs="仿宋_GB2312"/>
                <w:i w:val="0"/>
                <w:color w:val="000000"/>
                <w:sz w:val="32"/>
                <w:szCs w:val="32"/>
                <w:u w:val="none"/>
              </w:rPr>
            </w:pPr>
          </w:p>
        </w:tc>
        <w:tc>
          <w:tcPr>
            <w:tcW w:w="4680" w:type="dxa"/>
            <w:tcBorders>
              <w:top w:val="nil"/>
              <w:left w:val="nil"/>
              <w:bottom w:val="single" w:color="000000" w:sz="8" w:space="0"/>
              <w:right w:val="single" w:color="000000" w:sz="8" w:space="0"/>
            </w:tcBorders>
            <w:noWrap w:val="0"/>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5、不得与甲方工作人员发生争吵</w:t>
            </w:r>
          </w:p>
        </w:tc>
        <w:tc>
          <w:tcPr>
            <w:tcW w:w="2913" w:type="dxa"/>
            <w:tcBorders>
              <w:top w:val="nil"/>
              <w:left w:val="nil"/>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047" w:type="dxa"/>
            <w:vMerge w:val="continue"/>
            <w:tcBorders>
              <w:left w:val="single" w:color="000000" w:sz="8" w:space="0"/>
              <w:right w:val="single" w:color="000000" w:sz="8" w:space="0"/>
            </w:tcBorders>
            <w:noWrap/>
            <w:vAlign w:val="center"/>
          </w:tcPr>
          <w:p>
            <w:pPr>
              <w:keepNext w:val="0"/>
              <w:keepLines w:val="0"/>
              <w:pageBreakBefore w:val="0"/>
              <w:kinsoku/>
              <w:wordWrap/>
              <w:overflowPunct/>
              <w:topLinePunct w:val="0"/>
              <w:autoSpaceDE/>
              <w:autoSpaceDN/>
              <w:bidi w:val="0"/>
              <w:adjustRightInd/>
              <w:snapToGrid/>
              <w:spacing w:after="0" w:line="600" w:lineRule="exact"/>
              <w:rPr>
                <w:rFonts w:hint="eastAsia" w:ascii="仿宋_GB2312" w:hAnsi="仿宋_GB2312" w:eastAsia="仿宋_GB2312" w:cs="仿宋_GB2312"/>
                <w:i w:val="0"/>
                <w:color w:val="000000"/>
                <w:sz w:val="32"/>
                <w:szCs w:val="32"/>
                <w:u w:val="none"/>
              </w:rPr>
            </w:pPr>
          </w:p>
        </w:tc>
        <w:tc>
          <w:tcPr>
            <w:tcW w:w="4680" w:type="dxa"/>
            <w:tcBorders>
              <w:top w:val="nil"/>
              <w:left w:val="nil"/>
              <w:bottom w:val="single" w:color="000000" w:sz="8" w:space="0"/>
              <w:right w:val="single" w:color="000000" w:sz="8" w:space="0"/>
            </w:tcBorders>
            <w:noWrap w:val="0"/>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6、被服务对象有效投诉</w:t>
            </w:r>
          </w:p>
        </w:tc>
        <w:tc>
          <w:tcPr>
            <w:tcW w:w="2913" w:type="dxa"/>
            <w:tcBorders>
              <w:top w:val="nil"/>
              <w:left w:val="nil"/>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0" w:hRule="atLeast"/>
        </w:trPr>
        <w:tc>
          <w:tcPr>
            <w:tcW w:w="1047" w:type="dxa"/>
            <w:vMerge w:val="continue"/>
            <w:tcBorders>
              <w:left w:val="single" w:color="000000" w:sz="8" w:space="0"/>
              <w:right w:val="single" w:color="000000" w:sz="8" w:space="0"/>
            </w:tcBorders>
            <w:noWrap/>
            <w:vAlign w:val="center"/>
          </w:tcPr>
          <w:p>
            <w:pPr>
              <w:keepNext w:val="0"/>
              <w:keepLines w:val="0"/>
              <w:pageBreakBefore w:val="0"/>
              <w:kinsoku/>
              <w:wordWrap/>
              <w:overflowPunct/>
              <w:topLinePunct w:val="0"/>
              <w:autoSpaceDE/>
              <w:autoSpaceDN/>
              <w:bidi w:val="0"/>
              <w:adjustRightInd/>
              <w:snapToGrid/>
              <w:spacing w:after="0" w:line="600" w:lineRule="exact"/>
              <w:rPr>
                <w:rFonts w:hint="eastAsia" w:ascii="仿宋_GB2312" w:hAnsi="仿宋_GB2312" w:eastAsia="仿宋_GB2312" w:cs="仿宋_GB2312"/>
                <w:i w:val="0"/>
                <w:color w:val="000000"/>
                <w:sz w:val="32"/>
                <w:szCs w:val="32"/>
                <w:u w:val="none"/>
              </w:rPr>
            </w:pPr>
          </w:p>
        </w:tc>
        <w:tc>
          <w:tcPr>
            <w:tcW w:w="4680" w:type="dxa"/>
            <w:tcBorders>
              <w:top w:val="nil"/>
              <w:left w:val="nil"/>
              <w:bottom w:val="single" w:color="000000" w:sz="8" w:space="0"/>
              <w:right w:val="single" w:color="000000" w:sz="8" w:space="0"/>
            </w:tcBorders>
            <w:noWrap w:val="0"/>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7、不迟到、不早退、不在办公区内干私活</w:t>
            </w:r>
          </w:p>
        </w:tc>
        <w:tc>
          <w:tcPr>
            <w:tcW w:w="2913" w:type="dxa"/>
            <w:tcBorders>
              <w:top w:val="nil"/>
              <w:left w:val="nil"/>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0" w:hRule="atLeast"/>
        </w:trPr>
        <w:tc>
          <w:tcPr>
            <w:tcW w:w="1047" w:type="dxa"/>
            <w:vMerge w:val="continue"/>
            <w:tcBorders>
              <w:left w:val="single" w:color="000000" w:sz="8" w:space="0"/>
              <w:bottom w:val="single" w:color="000000" w:sz="8" w:space="0"/>
              <w:right w:val="single" w:color="000000" w:sz="8" w:space="0"/>
            </w:tcBorders>
            <w:noWrap/>
            <w:vAlign w:val="center"/>
          </w:tcPr>
          <w:p>
            <w:pPr>
              <w:keepNext w:val="0"/>
              <w:keepLines w:val="0"/>
              <w:pageBreakBefore w:val="0"/>
              <w:kinsoku/>
              <w:wordWrap/>
              <w:overflowPunct/>
              <w:topLinePunct w:val="0"/>
              <w:autoSpaceDE/>
              <w:autoSpaceDN/>
              <w:bidi w:val="0"/>
              <w:adjustRightInd/>
              <w:snapToGrid/>
              <w:spacing w:after="0" w:line="600" w:lineRule="exact"/>
              <w:rPr>
                <w:rFonts w:hint="eastAsia" w:ascii="仿宋_GB2312" w:hAnsi="仿宋_GB2312" w:eastAsia="仿宋_GB2312" w:cs="仿宋_GB2312"/>
                <w:i w:val="0"/>
                <w:color w:val="000000"/>
                <w:sz w:val="32"/>
                <w:szCs w:val="32"/>
                <w:u w:val="none"/>
              </w:rPr>
            </w:pPr>
          </w:p>
        </w:tc>
        <w:tc>
          <w:tcPr>
            <w:tcW w:w="4680" w:type="dxa"/>
            <w:tcBorders>
              <w:top w:val="nil"/>
              <w:left w:val="nil"/>
              <w:bottom w:val="single" w:color="000000" w:sz="8" w:space="0"/>
              <w:right w:val="single" w:color="000000" w:sz="8" w:space="0"/>
            </w:tcBorders>
            <w:noWrap w:val="0"/>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8、不空岗、缺岗、脱岗</w:t>
            </w:r>
          </w:p>
        </w:tc>
        <w:tc>
          <w:tcPr>
            <w:tcW w:w="2913" w:type="dxa"/>
            <w:tcBorders>
              <w:top w:val="nil"/>
              <w:left w:val="nil"/>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1047" w:type="dxa"/>
            <w:vMerge w:val="restart"/>
            <w:tcBorders>
              <w:top w:val="nil"/>
              <w:left w:val="single" w:color="000000" w:sz="8" w:space="0"/>
              <w:bottom w:val="single" w:color="000000" w:sz="8" w:space="0"/>
              <w:right w:val="single" w:color="000000" w:sz="8" w:space="0"/>
            </w:tcBorders>
            <w:noWrap w:val="0"/>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both"/>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仪容仪表</w:t>
            </w:r>
          </w:p>
        </w:tc>
        <w:tc>
          <w:tcPr>
            <w:tcW w:w="4680" w:type="dxa"/>
            <w:tcBorders>
              <w:top w:val="nil"/>
              <w:left w:val="nil"/>
              <w:bottom w:val="single" w:color="000000" w:sz="8" w:space="0"/>
              <w:right w:val="single" w:color="000000" w:sz="8" w:space="0"/>
            </w:tcBorders>
            <w:noWrap w:val="0"/>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1、微笑服务，文明礼貌服务，保持良好工作状态</w:t>
            </w:r>
          </w:p>
        </w:tc>
        <w:tc>
          <w:tcPr>
            <w:tcW w:w="2913" w:type="dxa"/>
            <w:tcBorders>
              <w:top w:val="nil"/>
              <w:left w:val="nil"/>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60" w:hRule="atLeast"/>
        </w:trPr>
        <w:tc>
          <w:tcPr>
            <w:tcW w:w="1047" w:type="dxa"/>
            <w:vMerge w:val="continue"/>
            <w:tcBorders>
              <w:top w:val="nil"/>
              <w:left w:val="single" w:color="000000" w:sz="8" w:space="0"/>
              <w:bottom w:val="single" w:color="000000" w:sz="8" w:space="0"/>
              <w:right w:val="single" w:color="000000" w:sz="8" w:space="0"/>
            </w:tcBorders>
            <w:noWrap w:val="0"/>
            <w:vAlign w:val="top"/>
          </w:tcPr>
          <w:p>
            <w:pPr>
              <w:keepNext w:val="0"/>
              <w:keepLines w:val="0"/>
              <w:pageBreakBefore w:val="0"/>
              <w:kinsoku/>
              <w:wordWrap/>
              <w:overflowPunct/>
              <w:topLinePunct w:val="0"/>
              <w:autoSpaceDE/>
              <w:autoSpaceDN/>
              <w:bidi w:val="0"/>
              <w:adjustRightInd/>
              <w:snapToGrid/>
              <w:spacing w:after="0" w:line="600" w:lineRule="exact"/>
              <w:jc w:val="both"/>
              <w:rPr>
                <w:rFonts w:hint="eastAsia" w:ascii="仿宋_GB2312" w:hAnsi="仿宋_GB2312" w:eastAsia="仿宋_GB2312" w:cs="仿宋_GB2312"/>
                <w:i w:val="0"/>
                <w:color w:val="000000"/>
                <w:sz w:val="32"/>
                <w:szCs w:val="32"/>
                <w:u w:val="none"/>
              </w:rPr>
            </w:pPr>
          </w:p>
        </w:tc>
        <w:tc>
          <w:tcPr>
            <w:tcW w:w="4680" w:type="dxa"/>
            <w:tcBorders>
              <w:top w:val="nil"/>
              <w:left w:val="nil"/>
              <w:bottom w:val="single" w:color="000000" w:sz="8" w:space="0"/>
              <w:right w:val="single" w:color="000000" w:sz="8" w:space="0"/>
            </w:tcBorders>
            <w:noWrap w:val="0"/>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2、着装上岗，佩戴胸牌，服装整洁，仪表端庄，保持良好的个人卫生</w:t>
            </w:r>
          </w:p>
        </w:tc>
        <w:tc>
          <w:tcPr>
            <w:tcW w:w="2913" w:type="dxa"/>
            <w:tcBorders>
              <w:top w:val="nil"/>
              <w:left w:val="nil"/>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1047" w:type="dxa"/>
            <w:vMerge w:val="continue"/>
            <w:tcBorders>
              <w:top w:val="nil"/>
              <w:left w:val="single" w:color="000000" w:sz="8" w:space="0"/>
              <w:bottom w:val="single" w:color="000000" w:sz="8" w:space="0"/>
              <w:right w:val="single" w:color="000000" w:sz="8" w:space="0"/>
            </w:tcBorders>
            <w:noWrap w:val="0"/>
            <w:vAlign w:val="top"/>
          </w:tcPr>
          <w:p>
            <w:pPr>
              <w:keepNext w:val="0"/>
              <w:keepLines w:val="0"/>
              <w:pageBreakBefore w:val="0"/>
              <w:kinsoku/>
              <w:wordWrap/>
              <w:overflowPunct/>
              <w:topLinePunct w:val="0"/>
              <w:autoSpaceDE/>
              <w:autoSpaceDN/>
              <w:bidi w:val="0"/>
              <w:adjustRightInd/>
              <w:snapToGrid/>
              <w:spacing w:after="0" w:line="600" w:lineRule="exact"/>
              <w:jc w:val="both"/>
              <w:rPr>
                <w:rFonts w:hint="eastAsia" w:ascii="仿宋_GB2312" w:hAnsi="仿宋_GB2312" w:eastAsia="仿宋_GB2312" w:cs="仿宋_GB2312"/>
                <w:i w:val="0"/>
                <w:color w:val="000000"/>
                <w:sz w:val="32"/>
                <w:szCs w:val="32"/>
                <w:u w:val="none"/>
              </w:rPr>
            </w:pPr>
          </w:p>
        </w:tc>
        <w:tc>
          <w:tcPr>
            <w:tcW w:w="4680" w:type="dxa"/>
            <w:tcBorders>
              <w:top w:val="nil"/>
              <w:left w:val="nil"/>
              <w:bottom w:val="single" w:color="000000" w:sz="8" w:space="0"/>
              <w:right w:val="single" w:color="000000" w:sz="8" w:space="0"/>
            </w:tcBorders>
            <w:noWrap w:val="0"/>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3、态度和谐，说话和气，不可顶撞甲方工作人员</w:t>
            </w:r>
          </w:p>
        </w:tc>
        <w:tc>
          <w:tcPr>
            <w:tcW w:w="2913" w:type="dxa"/>
            <w:tcBorders>
              <w:top w:val="nil"/>
              <w:left w:val="nil"/>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1047" w:type="dxa"/>
            <w:vMerge w:val="restart"/>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both"/>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基本要求</w:t>
            </w:r>
          </w:p>
        </w:tc>
        <w:tc>
          <w:tcPr>
            <w:tcW w:w="4680" w:type="dxa"/>
            <w:tcBorders>
              <w:top w:val="nil"/>
              <w:left w:val="nil"/>
              <w:bottom w:val="single" w:color="000000" w:sz="8" w:space="0"/>
              <w:right w:val="single" w:color="000000" w:sz="8" w:space="0"/>
            </w:tcBorders>
            <w:noWrap w:val="0"/>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1、绿地无改变使用用途和破坏践踏占用设置的护栏，整齐有序，不得歪斜损坏，无碍观赏。</w:t>
            </w:r>
          </w:p>
        </w:tc>
        <w:tc>
          <w:tcPr>
            <w:tcW w:w="2913" w:type="dxa"/>
            <w:tcBorders>
              <w:top w:val="nil"/>
              <w:left w:val="nil"/>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40" w:hRule="atLeast"/>
        </w:trPr>
        <w:tc>
          <w:tcPr>
            <w:tcW w:w="1047" w:type="dxa"/>
            <w:vMerge w:val="continue"/>
            <w:tcBorders>
              <w:top w:val="single" w:color="000000" w:sz="4" w:space="0"/>
              <w:left w:val="single" w:color="000000" w:sz="4" w:space="0"/>
              <w:bottom w:val="single" w:color="000000" w:sz="4" w:space="0"/>
              <w:right w:val="single" w:color="000000" w:sz="8" w:space="0"/>
            </w:tcBorders>
            <w:noWrap w:val="0"/>
            <w:vAlign w:val="top"/>
          </w:tcPr>
          <w:p>
            <w:pPr>
              <w:keepNext w:val="0"/>
              <w:keepLines w:val="0"/>
              <w:pageBreakBefore w:val="0"/>
              <w:kinsoku/>
              <w:wordWrap/>
              <w:overflowPunct/>
              <w:topLinePunct w:val="0"/>
              <w:autoSpaceDE/>
              <w:autoSpaceDN/>
              <w:bidi w:val="0"/>
              <w:adjustRightInd/>
              <w:snapToGrid/>
              <w:spacing w:after="0" w:line="600" w:lineRule="exact"/>
              <w:jc w:val="both"/>
              <w:rPr>
                <w:rFonts w:hint="eastAsia" w:ascii="仿宋_GB2312" w:hAnsi="仿宋_GB2312" w:eastAsia="仿宋_GB2312" w:cs="仿宋_GB2312"/>
                <w:i w:val="0"/>
                <w:color w:val="000000"/>
                <w:sz w:val="32"/>
                <w:szCs w:val="32"/>
                <w:u w:val="none"/>
              </w:rPr>
            </w:pPr>
          </w:p>
        </w:tc>
        <w:tc>
          <w:tcPr>
            <w:tcW w:w="4680" w:type="dxa"/>
            <w:tcBorders>
              <w:top w:val="single" w:color="000000" w:sz="8" w:space="0"/>
              <w:left w:val="single" w:color="000000" w:sz="8" w:space="0"/>
              <w:bottom w:val="single" w:color="000000" w:sz="8" w:space="0"/>
              <w:right w:val="single" w:color="000000" w:sz="8" w:space="0"/>
            </w:tcBorders>
            <w:noWrap w:val="0"/>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2、植物无枯枝黄叶（冬春季部分落叶花木除外），无缺苗无死苗。</w:t>
            </w:r>
          </w:p>
        </w:tc>
        <w:tc>
          <w:tcPr>
            <w:tcW w:w="2913"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0" w:hRule="atLeast"/>
        </w:trPr>
        <w:tc>
          <w:tcPr>
            <w:tcW w:w="1047" w:type="dxa"/>
            <w:vMerge w:val="continue"/>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snapToGrid/>
              <w:spacing w:after="0" w:line="600" w:lineRule="exact"/>
              <w:jc w:val="both"/>
              <w:rPr>
                <w:rFonts w:hint="eastAsia" w:ascii="仿宋_GB2312" w:hAnsi="仿宋_GB2312" w:eastAsia="仿宋_GB2312" w:cs="仿宋_GB2312"/>
                <w:i w:val="0"/>
                <w:color w:val="000000"/>
                <w:sz w:val="32"/>
                <w:szCs w:val="32"/>
                <w:u w:val="none"/>
              </w:rPr>
            </w:pPr>
          </w:p>
        </w:tc>
        <w:tc>
          <w:tcPr>
            <w:tcW w:w="4680" w:type="dxa"/>
            <w:tcBorders>
              <w:top w:val="single" w:color="000000" w:sz="8" w:space="0"/>
              <w:left w:val="nil"/>
              <w:bottom w:val="single" w:color="000000" w:sz="8" w:space="0"/>
              <w:right w:val="single" w:color="000000" w:sz="8" w:space="0"/>
            </w:tcBorders>
            <w:noWrap w:val="0"/>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3、花草植物无明显杂草。</w:t>
            </w:r>
          </w:p>
        </w:tc>
        <w:tc>
          <w:tcPr>
            <w:tcW w:w="2913" w:type="dxa"/>
            <w:tcBorders>
              <w:top w:val="single" w:color="000000" w:sz="8" w:space="0"/>
              <w:left w:val="nil"/>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20" w:hRule="atLeast"/>
        </w:trPr>
        <w:tc>
          <w:tcPr>
            <w:tcW w:w="1047" w:type="dxa"/>
            <w:vMerge w:val="continue"/>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snapToGrid/>
              <w:spacing w:after="0" w:line="600" w:lineRule="exact"/>
              <w:jc w:val="both"/>
              <w:rPr>
                <w:rFonts w:hint="eastAsia" w:ascii="仿宋_GB2312" w:hAnsi="仿宋_GB2312" w:eastAsia="仿宋_GB2312" w:cs="仿宋_GB2312"/>
                <w:i w:val="0"/>
                <w:color w:val="000000"/>
                <w:sz w:val="32"/>
                <w:szCs w:val="32"/>
                <w:u w:val="none"/>
              </w:rPr>
            </w:pPr>
          </w:p>
        </w:tc>
        <w:tc>
          <w:tcPr>
            <w:tcW w:w="4680" w:type="dxa"/>
            <w:tcBorders>
              <w:top w:val="nil"/>
              <w:left w:val="nil"/>
              <w:bottom w:val="single" w:color="000000" w:sz="8" w:space="0"/>
              <w:right w:val="single" w:color="000000" w:sz="8" w:space="0"/>
            </w:tcBorders>
            <w:noWrap w:val="0"/>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4、施肥不得在室内进行室内无异味施肥，乔木施肥肥料应埋入土壤树干周边土壤表面无肥料残留灌木施肥，均匀肥料不留在页面，施肥后应立即浇水。</w:t>
            </w:r>
          </w:p>
        </w:tc>
        <w:tc>
          <w:tcPr>
            <w:tcW w:w="2913" w:type="dxa"/>
            <w:tcBorders>
              <w:top w:val="nil"/>
              <w:left w:val="nil"/>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0" w:hRule="atLeast"/>
        </w:trPr>
        <w:tc>
          <w:tcPr>
            <w:tcW w:w="1047" w:type="dxa"/>
            <w:vMerge w:val="continue"/>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snapToGrid/>
              <w:spacing w:after="0" w:line="600" w:lineRule="exact"/>
              <w:jc w:val="both"/>
              <w:rPr>
                <w:rFonts w:hint="eastAsia" w:ascii="仿宋_GB2312" w:hAnsi="仿宋_GB2312" w:eastAsia="仿宋_GB2312" w:cs="仿宋_GB2312"/>
                <w:i w:val="0"/>
                <w:color w:val="000000"/>
                <w:sz w:val="32"/>
                <w:szCs w:val="32"/>
                <w:u w:val="none"/>
              </w:rPr>
            </w:pPr>
          </w:p>
        </w:tc>
        <w:tc>
          <w:tcPr>
            <w:tcW w:w="4680" w:type="dxa"/>
            <w:tcBorders>
              <w:top w:val="nil"/>
              <w:left w:val="nil"/>
              <w:bottom w:val="single" w:color="000000" w:sz="8" w:space="0"/>
              <w:right w:val="single" w:color="000000" w:sz="8" w:space="0"/>
            </w:tcBorders>
            <w:noWrap w:val="0"/>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5、每月养护不少于2次</w:t>
            </w:r>
          </w:p>
        </w:tc>
        <w:tc>
          <w:tcPr>
            <w:tcW w:w="2913" w:type="dxa"/>
            <w:tcBorders>
              <w:top w:val="nil"/>
              <w:left w:val="nil"/>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20" w:hRule="atLeast"/>
        </w:trPr>
        <w:tc>
          <w:tcPr>
            <w:tcW w:w="1047" w:type="dxa"/>
            <w:vMerge w:val="continue"/>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snapToGrid/>
              <w:spacing w:after="0" w:line="600" w:lineRule="exact"/>
              <w:jc w:val="both"/>
              <w:rPr>
                <w:rFonts w:hint="eastAsia" w:ascii="仿宋_GB2312" w:hAnsi="仿宋_GB2312" w:eastAsia="仿宋_GB2312" w:cs="仿宋_GB2312"/>
                <w:i w:val="0"/>
                <w:color w:val="000000"/>
                <w:sz w:val="32"/>
                <w:szCs w:val="32"/>
                <w:u w:val="none"/>
              </w:rPr>
            </w:pPr>
          </w:p>
        </w:tc>
        <w:tc>
          <w:tcPr>
            <w:tcW w:w="4680" w:type="dxa"/>
            <w:tcBorders>
              <w:top w:val="nil"/>
              <w:left w:val="nil"/>
              <w:bottom w:val="single" w:color="000000" w:sz="8" w:space="0"/>
              <w:right w:val="single" w:color="000000" w:sz="8" w:space="0"/>
            </w:tcBorders>
            <w:noWrap w:val="0"/>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6、浇水绿化溢出水不污染，地面花瓷贴面。</w:t>
            </w:r>
          </w:p>
        </w:tc>
        <w:tc>
          <w:tcPr>
            <w:tcW w:w="2913" w:type="dxa"/>
            <w:tcBorders>
              <w:top w:val="nil"/>
              <w:left w:val="nil"/>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trPr>
        <w:tc>
          <w:tcPr>
            <w:tcW w:w="1047" w:type="dxa"/>
            <w:vMerge w:val="restart"/>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both"/>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修剪造型</w:t>
            </w:r>
          </w:p>
        </w:tc>
        <w:tc>
          <w:tcPr>
            <w:tcW w:w="4680" w:type="dxa"/>
            <w:tcBorders>
              <w:top w:val="single" w:color="000000" w:sz="8" w:space="0"/>
              <w:left w:val="nil"/>
              <w:bottom w:val="single" w:color="000000" w:sz="8" w:space="0"/>
              <w:right w:val="single" w:color="000000" w:sz="8" w:space="0"/>
            </w:tcBorders>
            <w:noWrap w:val="0"/>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1、乔木剪除内生枝、虫枝、病虫枝、乔木造型自然优美，侧枝高业主窗户至少1米</w:t>
            </w:r>
          </w:p>
        </w:tc>
        <w:tc>
          <w:tcPr>
            <w:tcW w:w="2913" w:type="dxa"/>
            <w:tcBorders>
              <w:top w:val="single" w:color="000000" w:sz="8" w:space="0"/>
              <w:left w:val="nil"/>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0" w:hRule="atLeast"/>
        </w:trPr>
        <w:tc>
          <w:tcPr>
            <w:tcW w:w="1047" w:type="dxa"/>
            <w:vMerge w:val="continue"/>
            <w:tcBorders>
              <w:top w:val="single" w:color="000000" w:sz="4" w:space="0"/>
              <w:left w:val="single" w:color="000000" w:sz="4" w:space="0"/>
              <w:bottom w:val="single" w:color="000000" w:sz="4" w:space="0"/>
              <w:right w:val="single" w:color="000000" w:sz="8" w:space="0"/>
            </w:tcBorders>
            <w:noWrap w:val="0"/>
            <w:vAlign w:val="top"/>
          </w:tcPr>
          <w:p>
            <w:pPr>
              <w:keepNext w:val="0"/>
              <w:keepLines w:val="0"/>
              <w:pageBreakBefore w:val="0"/>
              <w:kinsoku/>
              <w:wordWrap/>
              <w:overflowPunct/>
              <w:topLinePunct w:val="0"/>
              <w:autoSpaceDE/>
              <w:autoSpaceDN/>
              <w:bidi w:val="0"/>
              <w:adjustRightInd/>
              <w:snapToGrid/>
              <w:spacing w:after="0" w:line="600" w:lineRule="exact"/>
              <w:jc w:val="both"/>
              <w:rPr>
                <w:rFonts w:hint="eastAsia" w:ascii="仿宋_GB2312" w:hAnsi="仿宋_GB2312" w:eastAsia="仿宋_GB2312" w:cs="仿宋_GB2312"/>
                <w:i w:val="0"/>
                <w:color w:val="000000"/>
                <w:sz w:val="32"/>
                <w:szCs w:val="32"/>
                <w:u w:val="none"/>
              </w:rPr>
            </w:pPr>
          </w:p>
        </w:tc>
        <w:tc>
          <w:tcPr>
            <w:tcW w:w="4680" w:type="dxa"/>
            <w:tcBorders>
              <w:top w:val="single" w:color="000000" w:sz="8" w:space="0"/>
              <w:left w:val="single" w:color="000000" w:sz="8" w:space="0"/>
              <w:bottom w:val="single" w:color="000000" w:sz="8" w:space="0"/>
              <w:right w:val="single" w:color="000000" w:sz="8" w:space="0"/>
            </w:tcBorders>
            <w:noWrap w:val="0"/>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2、灌木剪除病枝，枯枝交叉枝徒长枝，整形灌木造型美观，边缘线，流畅自然造型灌木。造型反映植物原有惯性不散乱。</w:t>
            </w:r>
          </w:p>
        </w:tc>
        <w:tc>
          <w:tcPr>
            <w:tcW w:w="2913" w:type="dxa"/>
            <w:tcBorders>
              <w:top w:val="nil"/>
              <w:left w:val="nil"/>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1047" w:type="dxa"/>
            <w:vMerge w:val="continue"/>
            <w:tcBorders>
              <w:top w:val="single" w:color="000000" w:sz="4" w:space="0"/>
              <w:left w:val="single" w:color="000000" w:sz="4" w:space="0"/>
              <w:bottom w:val="single" w:color="000000" w:sz="4" w:space="0"/>
              <w:right w:val="single" w:color="000000" w:sz="8" w:space="0"/>
            </w:tcBorders>
            <w:noWrap w:val="0"/>
            <w:vAlign w:val="top"/>
          </w:tcPr>
          <w:p>
            <w:pPr>
              <w:keepNext w:val="0"/>
              <w:keepLines w:val="0"/>
              <w:pageBreakBefore w:val="0"/>
              <w:kinsoku/>
              <w:wordWrap/>
              <w:overflowPunct/>
              <w:topLinePunct w:val="0"/>
              <w:autoSpaceDE/>
              <w:autoSpaceDN/>
              <w:bidi w:val="0"/>
              <w:adjustRightInd/>
              <w:snapToGrid/>
              <w:spacing w:after="0" w:line="600" w:lineRule="exact"/>
              <w:jc w:val="both"/>
              <w:rPr>
                <w:rFonts w:hint="eastAsia" w:ascii="仿宋_GB2312" w:hAnsi="仿宋_GB2312" w:eastAsia="仿宋_GB2312" w:cs="仿宋_GB2312"/>
                <w:i w:val="0"/>
                <w:color w:val="000000"/>
                <w:sz w:val="32"/>
                <w:szCs w:val="32"/>
                <w:u w:val="none"/>
              </w:rPr>
            </w:pPr>
          </w:p>
        </w:tc>
        <w:tc>
          <w:tcPr>
            <w:tcW w:w="4680" w:type="dxa"/>
            <w:tcBorders>
              <w:top w:val="single" w:color="000000" w:sz="8" w:space="0"/>
              <w:left w:val="single" w:color="000000" w:sz="8" w:space="0"/>
              <w:bottom w:val="single" w:color="000000" w:sz="8" w:space="0"/>
              <w:right w:val="single" w:color="000000" w:sz="8" w:space="0"/>
            </w:tcBorders>
            <w:noWrap w:val="0"/>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3、绿篱修剪平整不断涵整齐，绿篱外观整齐，线条流畅。</w:t>
            </w:r>
          </w:p>
        </w:tc>
        <w:tc>
          <w:tcPr>
            <w:tcW w:w="2913" w:type="dxa"/>
            <w:tcBorders>
              <w:top w:val="nil"/>
              <w:left w:val="nil"/>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20" w:hRule="atLeast"/>
        </w:trPr>
        <w:tc>
          <w:tcPr>
            <w:tcW w:w="1047" w:type="dxa"/>
            <w:vMerge w:val="continue"/>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snapToGrid/>
              <w:spacing w:after="0" w:line="600" w:lineRule="exact"/>
              <w:jc w:val="both"/>
              <w:rPr>
                <w:rFonts w:hint="eastAsia" w:ascii="仿宋_GB2312" w:hAnsi="仿宋_GB2312" w:eastAsia="仿宋_GB2312" w:cs="仿宋_GB2312"/>
                <w:i w:val="0"/>
                <w:color w:val="000000"/>
                <w:sz w:val="32"/>
                <w:szCs w:val="32"/>
                <w:u w:val="none"/>
              </w:rPr>
            </w:pPr>
          </w:p>
        </w:tc>
        <w:tc>
          <w:tcPr>
            <w:tcW w:w="4680" w:type="dxa"/>
            <w:tcBorders>
              <w:top w:val="single" w:color="000000" w:sz="8" w:space="0"/>
              <w:left w:val="nil"/>
              <w:bottom w:val="single" w:color="000000" w:sz="8" w:space="0"/>
              <w:right w:val="single" w:color="000000" w:sz="8" w:space="0"/>
            </w:tcBorders>
            <w:noWrap w:val="0"/>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4、花坛造型别致，层次分明</w:t>
            </w:r>
          </w:p>
        </w:tc>
        <w:tc>
          <w:tcPr>
            <w:tcW w:w="2913" w:type="dxa"/>
            <w:tcBorders>
              <w:top w:val="nil"/>
              <w:left w:val="nil"/>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00" w:hRule="atLeast"/>
        </w:trPr>
        <w:tc>
          <w:tcPr>
            <w:tcW w:w="1047" w:type="dxa"/>
            <w:vMerge w:val="continue"/>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snapToGrid/>
              <w:spacing w:after="0" w:line="600" w:lineRule="exact"/>
              <w:jc w:val="both"/>
              <w:rPr>
                <w:rFonts w:hint="eastAsia" w:ascii="仿宋_GB2312" w:hAnsi="仿宋_GB2312" w:eastAsia="仿宋_GB2312" w:cs="仿宋_GB2312"/>
                <w:i w:val="0"/>
                <w:color w:val="000000"/>
                <w:sz w:val="32"/>
                <w:szCs w:val="32"/>
                <w:u w:val="none"/>
              </w:rPr>
            </w:pPr>
          </w:p>
        </w:tc>
        <w:tc>
          <w:tcPr>
            <w:tcW w:w="4680" w:type="dxa"/>
            <w:tcBorders>
              <w:top w:val="nil"/>
              <w:left w:val="nil"/>
              <w:bottom w:val="single" w:color="000000" w:sz="8" w:space="0"/>
              <w:right w:val="single" w:color="000000" w:sz="8" w:space="0"/>
            </w:tcBorders>
            <w:noWrap w:val="0"/>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5、乔木病虫害防治无病猪病之病，业植株受病虫危害的叶片数少于10%</w:t>
            </w:r>
            <w:r>
              <w:rPr>
                <w:rFonts w:hint="eastAsia" w:ascii="仿宋_GB2312" w:hAnsi="仿宋_GB2312" w:eastAsia="仿宋_GB2312" w:cs="仿宋_GB2312"/>
                <w:i w:val="0"/>
                <w:color w:val="000000"/>
                <w:kern w:val="0"/>
                <w:sz w:val="32"/>
                <w:szCs w:val="32"/>
                <w:u w:val="none"/>
                <w:lang w:val="en-US" w:eastAsia="zh-CN" w:bidi="ar"/>
              </w:rPr>
              <w:br w:type="textWrapping"/>
            </w:r>
            <w:r>
              <w:rPr>
                <w:rFonts w:hint="eastAsia" w:ascii="仿宋_GB2312" w:hAnsi="仿宋_GB2312" w:eastAsia="仿宋_GB2312" w:cs="仿宋_GB2312"/>
                <w:i w:val="0"/>
                <w:color w:val="000000"/>
                <w:kern w:val="0"/>
                <w:sz w:val="32"/>
                <w:szCs w:val="32"/>
                <w:u w:val="none"/>
                <w:lang w:val="en-US" w:eastAsia="zh-CN" w:bidi="ar"/>
              </w:rPr>
              <w:t>灌木生长健康无病害，虫害草地无因养护不当造成的成片枯死。</w:t>
            </w:r>
          </w:p>
        </w:tc>
        <w:tc>
          <w:tcPr>
            <w:tcW w:w="2913" w:type="dxa"/>
            <w:tcBorders>
              <w:top w:val="nil"/>
              <w:left w:val="nil"/>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40" w:hRule="atLeast"/>
        </w:trPr>
        <w:tc>
          <w:tcPr>
            <w:tcW w:w="1047"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室内花卉</w:t>
            </w:r>
          </w:p>
        </w:tc>
        <w:tc>
          <w:tcPr>
            <w:tcW w:w="4680" w:type="dxa"/>
            <w:tcBorders>
              <w:top w:val="nil"/>
              <w:left w:val="nil"/>
              <w:bottom w:val="single" w:color="000000" w:sz="8" w:space="0"/>
              <w:right w:val="single" w:color="000000" w:sz="8" w:space="0"/>
            </w:tcBorders>
            <w:noWrap w:val="0"/>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1、枝叶无黄叶，黄边及时摘除，黄叶施肥不施有异味的肥料施药，在室外需要带药物，无异味，挥发后方可搬入室内。</w:t>
            </w:r>
          </w:p>
        </w:tc>
        <w:tc>
          <w:tcPr>
            <w:tcW w:w="2913" w:type="dxa"/>
            <w:tcBorders>
              <w:top w:val="nil"/>
              <w:left w:val="nil"/>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80" w:hRule="atLeast"/>
        </w:trPr>
        <w:tc>
          <w:tcPr>
            <w:tcW w:w="1047" w:type="dxa"/>
            <w:vMerge w:val="restart"/>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卫生</w:t>
            </w:r>
          </w:p>
        </w:tc>
        <w:tc>
          <w:tcPr>
            <w:tcW w:w="4680" w:type="dxa"/>
            <w:tcBorders>
              <w:top w:val="nil"/>
              <w:left w:val="nil"/>
              <w:bottom w:val="single" w:color="000000" w:sz="8" w:space="0"/>
              <w:right w:val="single" w:color="000000" w:sz="8" w:space="0"/>
            </w:tcBorders>
            <w:noWrap w:val="0"/>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2、卫生花盆内外缝隙之间无枯叶，杂物无污剂，托盘内无，污水叶片手摸无黑灰。</w:t>
            </w:r>
          </w:p>
        </w:tc>
        <w:tc>
          <w:tcPr>
            <w:tcW w:w="2913" w:type="dxa"/>
            <w:tcBorders>
              <w:top w:val="nil"/>
              <w:left w:val="nil"/>
              <w:bottom w:val="single" w:color="000000" w:sz="8" w:space="0"/>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60" w:hRule="atLeast"/>
        </w:trPr>
        <w:tc>
          <w:tcPr>
            <w:tcW w:w="1047" w:type="dxa"/>
            <w:vMerge w:val="continue"/>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snapToGrid/>
              <w:spacing w:after="0" w:line="600" w:lineRule="exact"/>
              <w:jc w:val="center"/>
              <w:rPr>
                <w:rFonts w:hint="eastAsia" w:ascii="仿宋_GB2312" w:hAnsi="仿宋_GB2312" w:eastAsia="仿宋_GB2312" w:cs="仿宋_GB2312"/>
                <w:i w:val="0"/>
                <w:color w:val="000000"/>
                <w:sz w:val="32"/>
                <w:szCs w:val="32"/>
                <w:u w:val="none"/>
              </w:rPr>
            </w:pPr>
          </w:p>
        </w:tc>
        <w:tc>
          <w:tcPr>
            <w:tcW w:w="4680" w:type="dxa"/>
            <w:tcBorders>
              <w:top w:val="nil"/>
              <w:left w:val="nil"/>
              <w:bottom w:val="single" w:color="000000" w:sz="4" w:space="0"/>
              <w:right w:val="single" w:color="000000" w:sz="8" w:space="0"/>
            </w:tcBorders>
            <w:noWrap w:val="0"/>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top"/>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3、节约用水根据植物需水的多少进行灌溉，通常草坪和灌木浇水次数较多，乔木浇水相对较少，忌出现灌溉过程中操作人员离开现场的情况。</w:t>
            </w:r>
          </w:p>
        </w:tc>
        <w:tc>
          <w:tcPr>
            <w:tcW w:w="2913" w:type="dxa"/>
            <w:tcBorders>
              <w:top w:val="nil"/>
              <w:left w:val="nil"/>
              <w:bottom w:val="single" w:color="000000" w:sz="4" w:space="0"/>
              <w:right w:val="single" w:color="000000" w:sz="8"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60" w:hRule="atLeast"/>
        </w:trPr>
        <w:tc>
          <w:tcPr>
            <w:tcW w:w="1047"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snapToGrid/>
              <w:spacing w:after="0" w:line="600" w:lineRule="exact"/>
              <w:jc w:val="center"/>
              <w:rPr>
                <w:rFonts w:hint="eastAsia" w:ascii="仿宋_GB2312" w:hAnsi="仿宋_GB2312" w:eastAsia="仿宋_GB2312" w:cs="仿宋_GB2312"/>
                <w:i w:val="0"/>
                <w:color w:val="000000"/>
                <w:sz w:val="32"/>
                <w:szCs w:val="32"/>
                <w:u w:val="none"/>
                <w:lang w:eastAsia="zh-CN"/>
              </w:rPr>
            </w:pPr>
            <w:r>
              <w:rPr>
                <w:rFonts w:hint="eastAsia" w:ascii="仿宋_GB2312" w:hAnsi="仿宋_GB2312" w:eastAsia="仿宋_GB2312" w:cs="仿宋_GB2312"/>
                <w:i w:val="0"/>
                <w:color w:val="000000"/>
                <w:sz w:val="32"/>
                <w:szCs w:val="32"/>
                <w:u w:val="none"/>
                <w:lang w:eastAsia="zh-CN"/>
              </w:rPr>
              <w:t>书面警告</w:t>
            </w:r>
          </w:p>
        </w:tc>
        <w:tc>
          <w:tcPr>
            <w:tcW w:w="468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left"/>
              <w:textAlignment w:val="top"/>
              <w:rPr>
                <w:rFonts w:hint="eastAsia" w:ascii="仿宋_GB2312" w:hAnsi="仿宋_GB2312" w:eastAsia="仿宋_GB2312" w:cs="仿宋_GB2312"/>
                <w:i w:val="0"/>
                <w:color w:val="000000"/>
                <w:kern w:val="0"/>
                <w:sz w:val="32"/>
                <w:szCs w:val="32"/>
                <w:u w:val="none"/>
                <w:lang w:val="en-US" w:eastAsia="zh-CN" w:bidi="ar"/>
              </w:rPr>
            </w:pPr>
            <w:r>
              <w:rPr>
                <w:rFonts w:hint="eastAsia" w:ascii="仿宋_GB2312" w:hAnsi="仿宋_GB2312" w:eastAsia="仿宋_GB2312" w:cs="仿宋_GB2312"/>
                <w:sz w:val="32"/>
                <w:szCs w:val="32"/>
                <w:lang w:val="en-US" w:eastAsia="zh-CN"/>
              </w:rPr>
              <w:t>在当月服务中，若出现重大错误将给予书面警告，警告一次扣5分，当月累计三次警告视为当月考核“不合格”</w:t>
            </w:r>
          </w:p>
        </w:tc>
        <w:tc>
          <w:tcPr>
            <w:tcW w:w="29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kern w:val="0"/>
                <w:sz w:val="32"/>
                <w:szCs w:val="32"/>
                <w:u w:val="none"/>
                <w:lang w:val="en-US" w:eastAsia="zh-CN" w:bidi="ar"/>
              </w:rPr>
            </w:pPr>
            <w:r>
              <w:rPr>
                <w:rFonts w:hint="eastAsia" w:ascii="仿宋_GB2312" w:hAnsi="仿宋_GB2312" w:eastAsia="仿宋_GB2312" w:cs="仿宋_GB2312"/>
                <w:i w:val="0"/>
                <w:color w:val="000000"/>
                <w:kern w:val="0"/>
                <w:sz w:val="32"/>
                <w:szCs w:val="3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0" w:hRule="atLeast"/>
        </w:trPr>
        <w:tc>
          <w:tcPr>
            <w:tcW w:w="10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spacing w:after="0" w:line="600" w:lineRule="exact"/>
              <w:rPr>
                <w:rFonts w:hint="eastAsia" w:ascii="仿宋_GB2312" w:hAnsi="仿宋_GB2312" w:eastAsia="仿宋_GB2312" w:cs="仿宋_GB2312"/>
                <w:i w:val="0"/>
                <w:color w:val="000000"/>
                <w:sz w:val="32"/>
                <w:szCs w:val="32"/>
                <w:u w:val="none"/>
              </w:rPr>
            </w:pPr>
          </w:p>
        </w:tc>
        <w:tc>
          <w:tcPr>
            <w:tcW w:w="46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合计：</w:t>
            </w:r>
          </w:p>
        </w:tc>
        <w:tc>
          <w:tcPr>
            <w:tcW w:w="291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after="0" w:line="600" w:lineRule="exact"/>
              <w:jc w:val="center"/>
              <w:textAlignment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32"/>
                <w:szCs w:val="32"/>
                <w:u w:val="none"/>
                <w:lang w:val="en-US" w:eastAsia="zh-CN" w:bidi="ar"/>
              </w:rPr>
              <w:t>100分</w:t>
            </w:r>
          </w:p>
        </w:tc>
      </w:tr>
    </w:tbl>
    <w:p>
      <w:pPr>
        <w:keepNext w:val="0"/>
        <w:keepLines w:val="0"/>
        <w:pageBreakBefore w:val="0"/>
        <w:tabs>
          <w:tab w:val="left" w:pos="1134"/>
        </w:tabs>
        <w:kinsoku/>
        <w:wordWrap/>
        <w:overflowPunct/>
        <w:topLinePunct w:val="0"/>
        <w:autoSpaceDE/>
        <w:autoSpaceDN/>
        <w:bidi w:val="0"/>
        <w:adjustRightInd/>
        <w:snapToGrid/>
        <w:spacing w:after="0" w:line="600" w:lineRule="exact"/>
        <w:rPr>
          <w:rFonts w:hint="eastAsia" w:ascii="仿宋_GB2312" w:hAnsi="仿宋_GB2312" w:eastAsia="仿宋_GB2312" w:cs="仿宋_GB2312"/>
          <w:sz w:val="32"/>
          <w:szCs w:val="32"/>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7A26"/>
    <w:rsid w:val="000B7A26"/>
    <w:rsid w:val="00177679"/>
    <w:rsid w:val="001E6BFE"/>
    <w:rsid w:val="002E7174"/>
    <w:rsid w:val="003A4FE9"/>
    <w:rsid w:val="00440228"/>
    <w:rsid w:val="00582162"/>
    <w:rsid w:val="00627FE3"/>
    <w:rsid w:val="007D107D"/>
    <w:rsid w:val="009B0C54"/>
    <w:rsid w:val="00A10972"/>
    <w:rsid w:val="00AD51CA"/>
    <w:rsid w:val="00C80E14"/>
    <w:rsid w:val="00CA121C"/>
    <w:rsid w:val="00CE4BDE"/>
    <w:rsid w:val="00D03FF2"/>
    <w:rsid w:val="00FA058A"/>
    <w:rsid w:val="133B0D14"/>
    <w:rsid w:val="14AF6124"/>
    <w:rsid w:val="5C0B54F6"/>
    <w:rsid w:val="62C06DD9"/>
    <w:rsid w:val="FAFBD9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20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Normal Indent"/>
    <w:basedOn w:val="1"/>
    <w:next w:val="3"/>
    <w:qFormat/>
    <w:uiPriority w:val="0"/>
    <w:pPr>
      <w:ind w:firstLine="420"/>
    </w:pPr>
    <w:rPr>
      <w:szCs w:val="20"/>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footer"/>
    <w:basedOn w:val="1"/>
    <w:link w:val="9"/>
    <w:semiHidden/>
    <w:unhideWhenUsed/>
    <w:qFormat/>
    <w:uiPriority w:val="99"/>
    <w:pPr>
      <w:tabs>
        <w:tab w:val="center" w:pos="4153"/>
        <w:tab w:val="right" w:pos="8306"/>
      </w:tabs>
      <w:snapToGrid w:val="0"/>
      <w:jc w:val="left"/>
    </w:pPr>
    <w:rPr>
      <w:sz w:val="18"/>
      <w:szCs w:val="18"/>
    </w:rPr>
  </w:style>
  <w:style w:type="character" w:styleId="7">
    <w:name w:val="Strong"/>
    <w:basedOn w:val="6"/>
    <w:qFormat/>
    <w:uiPriority w:val="22"/>
    <w:rPr>
      <w:b/>
      <w:bCs/>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4"/>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299</Words>
  <Characters>1707</Characters>
  <Lines>14</Lines>
  <Paragraphs>4</Paragraphs>
  <TotalTime>13</TotalTime>
  <ScaleCrop>false</ScaleCrop>
  <LinksUpToDate>false</LinksUpToDate>
  <CharactersWithSpaces>2002</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2021-12-27T15:11:00Z</dcterms:created>
  <dc:creator>Administrator</dc:creator>
  <cp:lastModifiedBy>admin</cp:lastModifiedBy>
  <dcterms:modified xsi:type="dcterms:W3CDTF">2026-07-28T02:09:37Z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