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contextualSpacing/>
        <w:jc w:val="left"/>
        <w:outlineLvl w:val="0"/>
        <w:rPr>
          <w:rFonts w:ascii="黑体" w:hAnsi="黑体" w:eastAsia="黑体" w:cs="黑体"/>
          <w:sz w:val="32"/>
          <w:szCs w:val="32"/>
        </w:rPr>
      </w:pPr>
      <w:bookmarkStart w:id="0" w:name="_GoBack"/>
      <w:bookmarkEnd w:id="0"/>
      <w:r>
        <w:rPr>
          <w:rFonts w:hint="eastAsia" w:ascii="黑体" w:hAnsi="黑体" w:eastAsia="黑体" w:cs="黑体"/>
          <w:sz w:val="32"/>
          <w:szCs w:val="32"/>
        </w:rPr>
        <w:t>附件1</w:t>
      </w:r>
    </w:p>
    <w:p>
      <w:pPr>
        <w:widowControl/>
        <w:spacing w:line="520" w:lineRule="exact"/>
        <w:contextualSpacing/>
        <w:jc w:val="left"/>
        <w:outlineLvl w:val="0"/>
        <w:rPr>
          <w:rFonts w:ascii="黑体" w:hAnsi="黑体" w:eastAsia="黑体" w:cs="黑体"/>
          <w:sz w:val="32"/>
          <w:szCs w:val="32"/>
        </w:rPr>
      </w:pPr>
    </w:p>
    <w:p>
      <w:pPr>
        <w:tabs>
          <w:tab w:val="left" w:pos="3612"/>
          <w:tab w:val="center" w:pos="4365"/>
        </w:tabs>
        <w:adjustRightInd w:val="0"/>
        <w:snapToGrid w:val="0"/>
        <w:spacing w:line="600" w:lineRule="exact"/>
        <w:jc w:val="center"/>
        <w:rPr>
          <w:rFonts w:ascii="方正小标宋简体" w:eastAsia="方正小标宋简体"/>
          <w:sz w:val="44"/>
          <w:szCs w:val="44"/>
        </w:rPr>
      </w:pPr>
      <w:r>
        <w:rPr>
          <w:rFonts w:hint="eastAsia" w:ascii="方正小标宋简体" w:eastAsia="方正小标宋简体"/>
          <w:sz w:val="44"/>
          <w:szCs w:val="44"/>
        </w:rPr>
        <w:t>福建省自然灾害应急能力提升工程预警指挥项目</w:t>
      </w:r>
      <w:r>
        <w:rPr>
          <w:rFonts w:hint="eastAsia" w:ascii="方正小标宋简体" w:eastAsia="方正小标宋简体"/>
          <w:sz w:val="44"/>
        </w:rPr>
        <w:t>竣工财务决算编制服务项目</w:t>
      </w:r>
      <w:r>
        <w:rPr>
          <w:rFonts w:hint="eastAsia" w:ascii="方正小标宋简体" w:eastAsia="方正小标宋简体"/>
          <w:sz w:val="44"/>
          <w:szCs w:val="44"/>
        </w:rPr>
        <w:t>报价单</w:t>
      </w:r>
    </w:p>
    <w:p>
      <w:pPr>
        <w:spacing w:line="500" w:lineRule="exact"/>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2026年</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  日</w:t>
      </w:r>
    </w:p>
    <w:p>
      <w:pPr>
        <w:spacing w:line="50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报价供应商：</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（盖章）</w:t>
      </w:r>
    </w:p>
    <w:p>
      <w:pPr>
        <w:spacing w:line="500" w:lineRule="exac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联系人：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联系电话：</w:t>
      </w:r>
      <w:r>
        <w:rPr>
          <w:rFonts w:hint="eastAsia" w:ascii="仿宋_GB2312" w:hAnsi="仿宋_GB2312" w:eastAsia="仿宋_GB2312" w:cs="仿宋_GB2312"/>
          <w:kern w:val="0"/>
          <w:sz w:val="32"/>
          <w:szCs w:val="32"/>
          <w:u w:val="single"/>
          <w:lang w:val="en-US" w:eastAsia="zh-CN"/>
        </w:rPr>
        <w:t xml:space="preserve">               </w:t>
      </w:r>
    </w:p>
    <w:p>
      <w:pPr>
        <w:spacing w:line="500" w:lineRule="exact"/>
        <w:rPr>
          <w:rFonts w:ascii="黑体" w:hAnsi="黑体" w:eastAsia="黑体" w:cs="黑体"/>
          <w:b/>
          <w:sz w:val="32"/>
          <w:szCs w:val="32"/>
        </w:rPr>
      </w:pPr>
    </w:p>
    <w:p>
      <w:pPr>
        <w:spacing w:line="500" w:lineRule="exact"/>
        <w:rPr>
          <w:rFonts w:ascii="黑体" w:hAnsi="黑体" w:eastAsia="黑体" w:cs="黑体"/>
          <w:bCs/>
          <w:sz w:val="32"/>
          <w:szCs w:val="32"/>
        </w:rPr>
      </w:pPr>
      <w:r>
        <w:rPr>
          <w:rFonts w:hint="eastAsia" w:ascii="黑体" w:hAnsi="黑体" w:eastAsia="黑体" w:cs="黑体"/>
          <w:bCs/>
          <w:sz w:val="32"/>
          <w:szCs w:val="32"/>
        </w:rPr>
        <w:t>一、报价表</w:t>
      </w:r>
    </w:p>
    <w:tbl>
      <w:tblPr>
        <w:tblStyle w:val="11"/>
        <w:tblW w:w="93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2710"/>
        <w:gridCol w:w="794"/>
        <w:gridCol w:w="1154"/>
        <w:gridCol w:w="591"/>
        <w:gridCol w:w="544"/>
        <w:gridCol w:w="988"/>
        <w:gridCol w:w="932"/>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Header/>
          <w:jc w:val="center"/>
        </w:trPr>
        <w:tc>
          <w:tcPr>
            <w:tcW w:w="568" w:type="dxa"/>
            <w:vAlign w:val="center"/>
          </w:tcPr>
          <w:p>
            <w:pPr>
              <w:snapToGrid w:val="0"/>
              <w:jc w:val="center"/>
              <w:rPr>
                <w:rFonts w:ascii="黑体" w:hAnsi="黑体" w:eastAsia="黑体" w:cs="黑体"/>
                <w:bCs/>
                <w:sz w:val="28"/>
                <w:szCs w:val="28"/>
              </w:rPr>
            </w:pPr>
            <w:r>
              <w:rPr>
                <w:rFonts w:hint="eastAsia" w:ascii="黑体" w:hAnsi="黑体" w:eastAsia="黑体" w:cs="黑体"/>
                <w:bCs/>
                <w:sz w:val="28"/>
                <w:szCs w:val="28"/>
              </w:rPr>
              <w:t>序</w:t>
            </w:r>
          </w:p>
          <w:p>
            <w:pPr>
              <w:snapToGrid w:val="0"/>
              <w:jc w:val="center"/>
              <w:rPr>
                <w:rFonts w:ascii="黑体" w:hAnsi="黑体" w:eastAsia="黑体" w:cs="黑体"/>
                <w:bCs/>
                <w:sz w:val="28"/>
                <w:szCs w:val="28"/>
              </w:rPr>
            </w:pPr>
            <w:r>
              <w:rPr>
                <w:rFonts w:hint="eastAsia" w:ascii="黑体" w:hAnsi="黑体" w:eastAsia="黑体" w:cs="黑体"/>
                <w:bCs/>
                <w:sz w:val="28"/>
                <w:szCs w:val="28"/>
              </w:rPr>
              <w:t>号</w:t>
            </w:r>
          </w:p>
        </w:tc>
        <w:tc>
          <w:tcPr>
            <w:tcW w:w="2710" w:type="dxa"/>
            <w:vAlign w:val="center"/>
          </w:tcPr>
          <w:p>
            <w:pPr>
              <w:snapToGrid w:val="0"/>
              <w:jc w:val="center"/>
              <w:rPr>
                <w:rFonts w:ascii="黑体" w:hAnsi="黑体" w:eastAsia="黑体" w:cs="黑体"/>
                <w:bCs/>
                <w:sz w:val="28"/>
                <w:szCs w:val="28"/>
              </w:rPr>
            </w:pPr>
            <w:r>
              <w:rPr>
                <w:rFonts w:hint="eastAsia" w:ascii="黑体" w:hAnsi="黑体" w:eastAsia="黑体" w:cs="黑体"/>
                <w:bCs/>
                <w:sz w:val="28"/>
                <w:szCs w:val="28"/>
              </w:rPr>
              <w:t>项目</w:t>
            </w:r>
          </w:p>
          <w:p>
            <w:pPr>
              <w:snapToGrid w:val="0"/>
              <w:jc w:val="center"/>
              <w:rPr>
                <w:rFonts w:ascii="黑体" w:hAnsi="黑体" w:eastAsia="黑体" w:cs="黑体"/>
                <w:bCs/>
                <w:sz w:val="28"/>
                <w:szCs w:val="28"/>
              </w:rPr>
            </w:pPr>
            <w:r>
              <w:rPr>
                <w:rFonts w:hint="eastAsia" w:ascii="黑体" w:hAnsi="黑体" w:eastAsia="黑体" w:cs="黑体"/>
                <w:bCs/>
                <w:sz w:val="28"/>
                <w:szCs w:val="28"/>
              </w:rPr>
              <w:t>名称</w:t>
            </w:r>
          </w:p>
        </w:tc>
        <w:tc>
          <w:tcPr>
            <w:tcW w:w="794" w:type="dxa"/>
            <w:vAlign w:val="center"/>
          </w:tcPr>
          <w:p>
            <w:pPr>
              <w:snapToGrid w:val="0"/>
              <w:jc w:val="center"/>
              <w:rPr>
                <w:rFonts w:ascii="黑体" w:hAnsi="黑体" w:eastAsia="黑体" w:cs="黑体"/>
                <w:bCs/>
                <w:sz w:val="28"/>
                <w:szCs w:val="28"/>
              </w:rPr>
            </w:pPr>
            <w:r>
              <w:rPr>
                <w:rFonts w:hint="eastAsia" w:ascii="黑体" w:hAnsi="黑体" w:eastAsia="黑体" w:cs="黑体"/>
                <w:bCs/>
                <w:sz w:val="28"/>
                <w:szCs w:val="28"/>
              </w:rPr>
              <w:t>品牌型号</w:t>
            </w:r>
          </w:p>
        </w:tc>
        <w:tc>
          <w:tcPr>
            <w:tcW w:w="1154" w:type="dxa"/>
            <w:vAlign w:val="center"/>
          </w:tcPr>
          <w:p>
            <w:pPr>
              <w:snapToGrid w:val="0"/>
              <w:jc w:val="center"/>
              <w:rPr>
                <w:rFonts w:ascii="黑体" w:hAnsi="黑体" w:eastAsia="黑体" w:cs="黑体"/>
                <w:bCs/>
                <w:sz w:val="28"/>
                <w:szCs w:val="28"/>
              </w:rPr>
            </w:pPr>
            <w:r>
              <w:rPr>
                <w:rFonts w:hint="eastAsia" w:ascii="黑体" w:hAnsi="黑体" w:eastAsia="黑体" w:cs="黑体"/>
                <w:bCs/>
                <w:sz w:val="28"/>
                <w:szCs w:val="28"/>
              </w:rPr>
              <w:t>规格技术指标</w:t>
            </w:r>
          </w:p>
        </w:tc>
        <w:tc>
          <w:tcPr>
            <w:tcW w:w="591" w:type="dxa"/>
            <w:vAlign w:val="center"/>
          </w:tcPr>
          <w:p>
            <w:pPr>
              <w:snapToGrid w:val="0"/>
              <w:jc w:val="center"/>
              <w:rPr>
                <w:rFonts w:ascii="黑体" w:hAnsi="黑体" w:eastAsia="黑体" w:cs="黑体"/>
                <w:bCs/>
                <w:sz w:val="28"/>
                <w:szCs w:val="28"/>
              </w:rPr>
            </w:pPr>
            <w:r>
              <w:rPr>
                <w:rFonts w:hint="eastAsia" w:ascii="黑体" w:hAnsi="黑体" w:eastAsia="黑体" w:cs="黑体"/>
                <w:bCs/>
                <w:sz w:val="28"/>
                <w:szCs w:val="28"/>
              </w:rPr>
              <w:t>数量</w:t>
            </w:r>
          </w:p>
        </w:tc>
        <w:tc>
          <w:tcPr>
            <w:tcW w:w="544" w:type="dxa"/>
            <w:vAlign w:val="center"/>
          </w:tcPr>
          <w:p>
            <w:pPr>
              <w:snapToGrid w:val="0"/>
              <w:jc w:val="center"/>
              <w:rPr>
                <w:rFonts w:ascii="黑体" w:hAnsi="黑体" w:eastAsia="黑体" w:cs="黑体"/>
                <w:bCs/>
                <w:sz w:val="28"/>
                <w:szCs w:val="28"/>
              </w:rPr>
            </w:pPr>
            <w:r>
              <w:rPr>
                <w:rFonts w:hint="eastAsia" w:ascii="黑体" w:hAnsi="黑体" w:eastAsia="黑体" w:cs="黑体"/>
                <w:bCs/>
                <w:sz w:val="28"/>
                <w:szCs w:val="28"/>
              </w:rPr>
              <w:t>单位</w:t>
            </w:r>
          </w:p>
        </w:tc>
        <w:tc>
          <w:tcPr>
            <w:tcW w:w="988" w:type="dxa"/>
            <w:vAlign w:val="center"/>
          </w:tcPr>
          <w:p>
            <w:pPr>
              <w:snapToGrid w:val="0"/>
              <w:jc w:val="center"/>
              <w:rPr>
                <w:rFonts w:ascii="黑体" w:hAnsi="黑体" w:eastAsia="黑体" w:cs="黑体"/>
                <w:bCs/>
                <w:sz w:val="28"/>
                <w:szCs w:val="28"/>
              </w:rPr>
            </w:pPr>
            <w:r>
              <w:rPr>
                <w:rFonts w:hint="eastAsia" w:ascii="黑体" w:hAnsi="黑体" w:eastAsia="黑体" w:cs="黑体"/>
                <w:bCs/>
                <w:sz w:val="28"/>
                <w:szCs w:val="28"/>
              </w:rPr>
              <w:t>单价</w:t>
            </w:r>
          </w:p>
          <w:p>
            <w:pPr>
              <w:snapToGrid w:val="0"/>
              <w:jc w:val="center"/>
              <w:rPr>
                <w:rFonts w:ascii="黑体" w:hAnsi="黑体" w:eastAsia="黑体" w:cs="黑体"/>
                <w:bCs/>
                <w:sz w:val="28"/>
                <w:szCs w:val="28"/>
              </w:rPr>
            </w:pPr>
            <w:r>
              <w:rPr>
                <w:rFonts w:hint="eastAsia" w:ascii="黑体" w:hAnsi="黑体" w:eastAsia="黑体" w:cs="黑体"/>
                <w:bCs/>
                <w:sz w:val="28"/>
                <w:szCs w:val="28"/>
              </w:rPr>
              <w:t>（元）</w:t>
            </w:r>
          </w:p>
        </w:tc>
        <w:tc>
          <w:tcPr>
            <w:tcW w:w="932" w:type="dxa"/>
            <w:vAlign w:val="center"/>
          </w:tcPr>
          <w:p>
            <w:pPr>
              <w:snapToGrid w:val="0"/>
              <w:jc w:val="center"/>
              <w:rPr>
                <w:rFonts w:ascii="黑体" w:hAnsi="黑体" w:eastAsia="黑体" w:cs="黑体"/>
                <w:bCs/>
                <w:sz w:val="28"/>
                <w:szCs w:val="28"/>
              </w:rPr>
            </w:pPr>
            <w:r>
              <w:rPr>
                <w:rFonts w:hint="eastAsia" w:ascii="黑体" w:hAnsi="黑体" w:eastAsia="黑体" w:cs="黑体"/>
                <w:bCs/>
                <w:sz w:val="28"/>
                <w:szCs w:val="28"/>
              </w:rPr>
              <w:t>小计</w:t>
            </w:r>
          </w:p>
          <w:p>
            <w:pPr>
              <w:snapToGrid w:val="0"/>
              <w:jc w:val="center"/>
              <w:rPr>
                <w:rFonts w:ascii="黑体" w:hAnsi="黑体" w:eastAsia="黑体" w:cs="黑体"/>
                <w:bCs/>
                <w:sz w:val="28"/>
                <w:szCs w:val="28"/>
              </w:rPr>
            </w:pPr>
            <w:r>
              <w:rPr>
                <w:rFonts w:hint="eastAsia" w:ascii="黑体" w:hAnsi="黑体" w:eastAsia="黑体" w:cs="黑体"/>
                <w:bCs/>
                <w:sz w:val="28"/>
                <w:szCs w:val="28"/>
              </w:rPr>
              <w:t>（元）</w:t>
            </w:r>
          </w:p>
        </w:tc>
        <w:tc>
          <w:tcPr>
            <w:tcW w:w="1109" w:type="dxa"/>
            <w:vAlign w:val="center"/>
          </w:tcPr>
          <w:p>
            <w:pPr>
              <w:snapToGrid w:val="0"/>
              <w:jc w:val="center"/>
              <w:rPr>
                <w:rFonts w:ascii="黑体" w:hAnsi="黑体" w:eastAsia="黑体" w:cs="黑体"/>
                <w:bCs/>
                <w:sz w:val="28"/>
                <w:szCs w:val="28"/>
              </w:rPr>
            </w:pPr>
            <w:r>
              <w:rPr>
                <w:rFonts w:hint="eastAsia" w:ascii="黑体" w:hAnsi="黑体" w:eastAsia="黑体" w:cs="黑体"/>
                <w:bCs/>
                <w:sz w:val="28"/>
                <w:szCs w:val="28"/>
              </w:rPr>
              <w:t>最高</w:t>
            </w:r>
          </w:p>
          <w:p>
            <w:pPr>
              <w:snapToGrid w:val="0"/>
              <w:jc w:val="center"/>
              <w:rPr>
                <w:rFonts w:ascii="黑体" w:hAnsi="黑体" w:eastAsia="黑体" w:cs="黑体"/>
                <w:bCs/>
                <w:sz w:val="28"/>
                <w:szCs w:val="28"/>
              </w:rPr>
            </w:pPr>
            <w:r>
              <w:rPr>
                <w:rFonts w:hint="eastAsia" w:ascii="黑体" w:hAnsi="黑体" w:eastAsia="黑体" w:cs="黑体"/>
                <w:bCs/>
                <w:sz w:val="28"/>
                <w:szCs w:val="28"/>
              </w:rPr>
              <w:t>限价</w:t>
            </w:r>
          </w:p>
          <w:p>
            <w:pPr>
              <w:snapToGrid w:val="0"/>
              <w:jc w:val="center"/>
              <w:rPr>
                <w:rFonts w:ascii="黑体" w:hAnsi="黑体" w:eastAsia="黑体" w:cs="黑体"/>
                <w:bCs/>
                <w:sz w:val="28"/>
                <w:szCs w:val="28"/>
              </w:rPr>
            </w:pPr>
            <w:r>
              <w:rPr>
                <w:rFonts w:hint="eastAsia" w:ascii="黑体" w:hAnsi="黑体" w:eastAsia="黑体" w:cs="黑体"/>
                <w:bCs/>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609" w:hRule="atLeast"/>
          <w:jc w:val="center"/>
        </w:trPr>
        <w:tc>
          <w:tcPr>
            <w:tcW w:w="568" w:type="dxa"/>
            <w:vAlign w:val="center"/>
          </w:tcPr>
          <w:p>
            <w:pPr>
              <w:widowControl/>
              <w:spacing w:line="0" w:lineRule="atLeas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2710" w:type="dxa"/>
            <w:vAlign w:val="center"/>
          </w:tcPr>
          <w:p>
            <w:pPr>
              <w:widowControl/>
              <w:spacing w:line="0" w:lineRule="atLeas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福建省自然灾害应急能力提升工程预警指挥项目竣工财务决算编制服务项目</w:t>
            </w:r>
          </w:p>
        </w:tc>
        <w:tc>
          <w:tcPr>
            <w:tcW w:w="794" w:type="dxa"/>
            <w:vAlign w:val="center"/>
          </w:tcPr>
          <w:p>
            <w:pPr>
              <w:widowControl/>
              <w:spacing w:line="0" w:lineRule="atLeas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无</w:t>
            </w:r>
          </w:p>
        </w:tc>
        <w:tc>
          <w:tcPr>
            <w:tcW w:w="1154" w:type="dxa"/>
            <w:vAlign w:val="center"/>
          </w:tcPr>
          <w:p>
            <w:pPr>
              <w:widowControl/>
              <w:spacing w:line="0" w:lineRule="atLeas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满足招标要求应答表的各项要求。</w:t>
            </w:r>
          </w:p>
        </w:tc>
        <w:tc>
          <w:tcPr>
            <w:tcW w:w="591" w:type="dxa"/>
            <w:vAlign w:val="center"/>
          </w:tcPr>
          <w:p>
            <w:pPr>
              <w:widowControl/>
              <w:spacing w:line="0" w:lineRule="atLeas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544" w:type="dxa"/>
            <w:vAlign w:val="center"/>
          </w:tcPr>
          <w:p>
            <w:pPr>
              <w:widowControl/>
              <w:spacing w:line="0" w:lineRule="atLeas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w:t>
            </w:r>
          </w:p>
        </w:tc>
        <w:tc>
          <w:tcPr>
            <w:tcW w:w="988" w:type="dxa"/>
            <w:vAlign w:val="center"/>
          </w:tcPr>
          <w:p>
            <w:pPr>
              <w:widowControl/>
              <w:spacing w:line="0" w:lineRule="atLeast"/>
              <w:jc w:val="center"/>
              <w:textAlignment w:val="center"/>
              <w:rPr>
                <w:rFonts w:ascii="仿宋_GB2312" w:hAnsi="仿宋_GB2312" w:eastAsia="仿宋_GB2312" w:cs="仿宋_GB2312"/>
                <w:kern w:val="0"/>
                <w:sz w:val="28"/>
                <w:szCs w:val="28"/>
              </w:rPr>
            </w:pPr>
          </w:p>
        </w:tc>
        <w:tc>
          <w:tcPr>
            <w:tcW w:w="932" w:type="dxa"/>
            <w:vAlign w:val="center"/>
          </w:tcPr>
          <w:p>
            <w:pPr>
              <w:widowControl/>
              <w:spacing w:line="0" w:lineRule="atLeast"/>
              <w:jc w:val="center"/>
              <w:textAlignment w:val="center"/>
              <w:rPr>
                <w:rFonts w:ascii="仿宋_GB2312" w:hAnsi="仿宋_GB2312" w:eastAsia="仿宋_GB2312" w:cs="仿宋_GB2312"/>
                <w:kern w:val="0"/>
                <w:sz w:val="28"/>
                <w:szCs w:val="28"/>
              </w:rPr>
            </w:pPr>
          </w:p>
        </w:tc>
        <w:tc>
          <w:tcPr>
            <w:tcW w:w="1109" w:type="dxa"/>
            <w:vAlign w:val="center"/>
          </w:tcPr>
          <w:p>
            <w:pPr>
              <w:widowControl/>
              <w:spacing w:line="0" w:lineRule="atLeas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bCs/>
                <w:sz w:val="32"/>
                <w:szCs w:val="32"/>
              </w:rPr>
              <w:t>55070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49" w:type="dxa"/>
            <w:gridSpan w:val="7"/>
            <w:vAlign w:val="center"/>
          </w:tcPr>
          <w:p>
            <w:pPr>
              <w:spacing w:line="50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合计：</w:t>
            </w:r>
          </w:p>
        </w:tc>
        <w:tc>
          <w:tcPr>
            <w:tcW w:w="2041" w:type="dxa"/>
            <w:gridSpan w:val="2"/>
            <w:vAlign w:val="center"/>
          </w:tcPr>
          <w:p>
            <w:pPr>
              <w:jc w:val="center"/>
              <w:rPr>
                <w:rFonts w:ascii="仿宋_GB2312" w:hAnsi="仿宋_GB2312" w:eastAsia="仿宋_GB2312" w:cs="仿宋_GB2312"/>
                <w:sz w:val="30"/>
                <w:szCs w:val="30"/>
              </w:rPr>
            </w:pPr>
          </w:p>
        </w:tc>
      </w:tr>
    </w:tbl>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总价应包含：上述服务以及相关税费、运费等一切费用。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此项目</w:t>
      </w:r>
      <w:r>
        <w:rPr>
          <w:rFonts w:hint="eastAsia" w:ascii="仿宋_GB2312" w:hAnsi="仿宋_GB2312" w:eastAsia="仿宋_GB2312" w:cs="仿宋_GB2312"/>
          <w:b/>
          <w:sz w:val="32"/>
          <w:szCs w:val="32"/>
        </w:rPr>
        <w:t>最高限价为</w:t>
      </w:r>
      <w:r>
        <w:rPr>
          <w:rFonts w:hint="eastAsia" w:ascii="仿宋_GB2312" w:hAnsi="仿宋_GB2312" w:eastAsia="仿宋_GB2312" w:cs="仿宋_GB2312"/>
          <w:b/>
          <w:sz w:val="32"/>
          <w:szCs w:val="32"/>
          <w:lang w:eastAsia="zh-CN"/>
        </w:rPr>
        <w:t>人民币</w:t>
      </w:r>
      <w:r>
        <w:rPr>
          <w:rFonts w:hint="eastAsia" w:ascii="仿宋_GB2312" w:hAnsi="仿宋_GB2312" w:eastAsia="仿宋_GB2312" w:cs="仿宋_GB2312"/>
          <w:b/>
          <w:sz w:val="32"/>
          <w:szCs w:val="32"/>
        </w:rPr>
        <w:t>55070元</w:t>
      </w:r>
      <w:r>
        <w:rPr>
          <w:rFonts w:hint="eastAsia" w:ascii="仿宋_GB2312" w:hAnsi="仿宋_GB2312" w:eastAsia="仿宋_GB2312" w:cs="仿宋_GB2312"/>
          <w:b/>
          <w:sz w:val="32"/>
          <w:szCs w:val="32"/>
          <w:lang w:eastAsia="zh-CN"/>
        </w:rPr>
        <w:t>（伍万伍仟零柒拾元整）</w:t>
      </w:r>
      <w:r>
        <w:rPr>
          <w:rFonts w:hint="eastAsia" w:ascii="仿宋_GB2312" w:hAnsi="仿宋_GB2312" w:eastAsia="仿宋_GB2312" w:cs="仿宋_GB2312"/>
          <w:sz w:val="32"/>
          <w:szCs w:val="32"/>
        </w:rPr>
        <w:t>，报价总价超过最高限价的，视为无效报价。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合计总价：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元（大写）</w:t>
      </w:r>
    </w:p>
    <w:p>
      <w:pPr>
        <w:ind w:firstLine="2240" w:firstLineChars="700"/>
        <w:rPr>
          <w:rFonts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元（小写）</w:t>
      </w:r>
    </w:p>
    <w:p>
      <w:pPr>
        <w:rPr>
          <w:rFonts w:ascii="仿宋_GB2312" w:hAnsi="仿宋_GB2312" w:eastAsia="仿宋_GB2312" w:cs="仿宋_GB2312"/>
          <w:sz w:val="32"/>
          <w:szCs w:val="32"/>
        </w:rPr>
      </w:pPr>
    </w:p>
    <w:p>
      <w:pPr>
        <w:rPr>
          <w:rFonts w:ascii="仿宋_GB2312" w:eastAsia="仿宋_GB2312"/>
          <w:sz w:val="32"/>
          <w:szCs w:val="32"/>
        </w:rPr>
      </w:pPr>
      <w:r>
        <w:rPr>
          <w:rFonts w:hint="eastAsia" w:ascii="仿宋_GB2312" w:eastAsia="仿宋_GB2312"/>
          <w:sz w:val="32"/>
          <w:szCs w:val="32"/>
        </w:rPr>
        <w:br w:type="page"/>
      </w:r>
    </w:p>
    <w:p>
      <w:pPr>
        <w:widowControl/>
        <w:spacing w:line="520" w:lineRule="exact"/>
        <w:contextualSpacing/>
        <w:jc w:val="left"/>
        <w:outlineLvl w:val="0"/>
        <w:rPr>
          <w:rFonts w:ascii="黑体" w:hAnsi="黑体" w:eastAsia="黑体" w:cs="黑体"/>
          <w:sz w:val="32"/>
          <w:szCs w:val="32"/>
        </w:rPr>
      </w:pPr>
      <w:r>
        <w:rPr>
          <w:rFonts w:hint="eastAsia" w:ascii="黑体" w:hAnsi="黑体" w:eastAsia="黑体" w:cs="黑体"/>
          <w:sz w:val="32"/>
          <w:szCs w:val="32"/>
        </w:rPr>
        <w:t>附件2</w:t>
      </w:r>
    </w:p>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采购要求应答表</w:t>
      </w:r>
    </w:p>
    <w:p>
      <w:pPr>
        <w:widowControl/>
        <w:spacing w:line="560" w:lineRule="exact"/>
        <w:ind w:firstLine="640"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kern w:val="0"/>
          <w:sz w:val="32"/>
          <w:szCs w:val="32"/>
        </w:rPr>
        <w:t>福建省自然灾害应急能力提升工程预警指挥项目（以下简称预警指挥项目）</w:t>
      </w:r>
      <w:r>
        <w:rPr>
          <w:rFonts w:hint="eastAsia" w:ascii="仿宋_GB2312" w:eastAsia="仿宋_GB2312"/>
          <w:sz w:val="32"/>
          <w:szCs w:val="32"/>
        </w:rPr>
        <w:t>批复总投资概算</w:t>
      </w:r>
      <w:r>
        <w:rPr>
          <w:rFonts w:ascii="仿宋_GB2312" w:eastAsia="仿宋_GB2312"/>
          <w:sz w:val="32"/>
          <w:szCs w:val="32"/>
        </w:rPr>
        <w:t>54</w:t>
      </w:r>
      <w:r>
        <w:rPr>
          <w:rFonts w:hint="eastAsia" w:ascii="仿宋_GB2312" w:eastAsia="仿宋_GB2312"/>
          <w:sz w:val="32"/>
          <w:szCs w:val="32"/>
        </w:rPr>
        <w:t>671.06万元，</w:t>
      </w:r>
      <w:r>
        <w:rPr>
          <w:rFonts w:hint="eastAsia" w:ascii="仿宋_GB2312" w:hAnsi="仿宋_GB2312" w:eastAsia="仿宋_GB2312" w:cs="仿宋_GB2312"/>
          <w:sz w:val="32"/>
          <w:szCs w:val="32"/>
        </w:rPr>
        <w:t>采取统招分签方式，</w:t>
      </w:r>
      <w:r>
        <w:rPr>
          <w:rFonts w:hint="eastAsia" w:ascii="仿宋_GB2312" w:hAnsi="仿宋_GB2312" w:eastAsia="仿宋_GB2312" w:cs="仿宋_GB2312"/>
          <w:kern w:val="0"/>
          <w:sz w:val="32"/>
          <w:szCs w:val="32"/>
        </w:rPr>
        <w:t>建设规模覆盖福建省、市、县三级105个应急管理部门及部分基层单位，</w:t>
      </w:r>
      <w:r>
        <w:rPr>
          <w:rFonts w:hint="eastAsia" w:ascii="仿宋_GB2312" w:hAnsi="仿宋_GB2312" w:eastAsia="仿宋_GB2312" w:cs="仿宋_GB2312"/>
          <w:color w:val="000000" w:themeColor="text1"/>
          <w:sz w:val="32"/>
          <w:szCs w:val="32"/>
        </w:rPr>
        <w:t>分为现场应急感知技术装备、视频监控及应急叫应、指挥调度、森林火险因子综合监测站等4个建设包和</w:t>
      </w:r>
      <w:r>
        <w:rPr>
          <w:rFonts w:hint="eastAsia" w:ascii="仿宋_GB2312" w:eastAsia="仿宋_GB2312"/>
          <w:bCs/>
          <w:sz w:val="32"/>
          <w:szCs w:val="32"/>
        </w:rPr>
        <w:t>设计、监理、测试测评等3个服务包公开招标建设</w:t>
      </w:r>
      <w:r>
        <w:rPr>
          <w:rFonts w:hint="eastAsia" w:ascii="仿宋_GB2312" w:hAnsi="仿宋_GB2312" w:eastAsia="仿宋_GB2312" w:cs="仿宋_GB2312"/>
          <w:spacing w:val="-6"/>
          <w:kern w:val="0"/>
          <w:sz w:val="32"/>
          <w:szCs w:val="32"/>
        </w:rPr>
        <w:t>。预警指挥项目于2026年4月19日通过项目整体竣工验收。</w:t>
      </w:r>
    </w:p>
    <w:p>
      <w:pPr>
        <w:widowControl/>
        <w:spacing w:line="500" w:lineRule="exact"/>
        <w:rPr>
          <w:rFonts w:ascii="仿宋_GB2312" w:hAnsi="仿宋_GB2312" w:eastAsia="仿宋_GB2312" w:cs="仿宋_GB2312"/>
          <w:spacing w:val="-6"/>
          <w:kern w:val="0"/>
          <w:sz w:val="32"/>
          <w:szCs w:val="32"/>
        </w:rPr>
      </w:pPr>
    </w:p>
    <w:tbl>
      <w:tblPr>
        <w:tblStyle w:val="12"/>
        <w:tblW w:w="9277" w:type="dxa"/>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8086"/>
        <w:gridCol w:w="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8086" w:type="dxa"/>
            <w:vAlign w:val="center"/>
          </w:tcPr>
          <w:p>
            <w:pPr>
              <w:jc w:val="center"/>
              <w:rPr>
                <w:rFonts w:ascii="仿宋_GB2312" w:hAnsi="仿宋_GB2312" w:eastAsia="仿宋_GB2312" w:cs="仿宋_GB2312"/>
                <w:b/>
                <w:szCs w:val="21"/>
              </w:rPr>
            </w:pPr>
            <w:r>
              <w:rPr>
                <w:rFonts w:hint="eastAsia" w:ascii="仿宋_GB2312" w:hAnsi="仿宋_GB2312" w:eastAsia="仿宋_GB2312" w:cs="仿宋_GB2312"/>
                <w:b/>
                <w:szCs w:val="21"/>
              </w:rPr>
              <w:t>技术要求</w:t>
            </w:r>
          </w:p>
        </w:tc>
        <w:tc>
          <w:tcPr>
            <w:tcW w:w="683" w:type="dxa"/>
            <w:vAlign w:val="center"/>
          </w:tcPr>
          <w:p>
            <w:pPr>
              <w:jc w:val="center"/>
              <w:rPr>
                <w:rFonts w:ascii="仿宋_GB2312" w:hAnsi="仿宋_GB2312" w:eastAsia="仿宋_GB2312" w:cs="仿宋_GB2312"/>
                <w:b/>
                <w:szCs w:val="21"/>
              </w:rPr>
            </w:pPr>
            <w:r>
              <w:rPr>
                <w:rFonts w:hint="eastAsia" w:ascii="仿宋_GB2312" w:hAnsi="仿宋_GB2312" w:eastAsia="仿宋_GB2312" w:cs="仿宋_GB2312"/>
                <w:b/>
                <w:szCs w:val="21"/>
              </w:rPr>
              <w:t>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8086" w:type="dxa"/>
            <w:vAlign w:val="center"/>
          </w:tcPr>
          <w:p>
            <w:pPr>
              <w:spacing w:line="320" w:lineRule="exact"/>
              <w:rPr>
                <w:rFonts w:ascii="仿宋_GB2312" w:hAnsi="仿宋_GB2312" w:eastAsia="仿宋_GB2312" w:cs="仿宋_GB2312"/>
                <w:b/>
                <w:szCs w:val="21"/>
              </w:rPr>
            </w:pPr>
            <w:r>
              <w:rPr>
                <w:rFonts w:hint="eastAsia" w:ascii="仿宋_GB2312" w:hAnsi="仿宋_GB2312" w:eastAsia="仿宋_GB2312" w:cs="仿宋_GB2312"/>
                <w:b/>
                <w:szCs w:val="21"/>
              </w:rPr>
              <w:t>服务范围和内容：</w:t>
            </w:r>
          </w:p>
          <w:p>
            <w:pPr>
              <w:spacing w:line="320" w:lineRule="exact"/>
              <w:rPr>
                <w:rFonts w:ascii="仿宋_GB2312" w:hAnsi="仿宋_GB2312" w:eastAsia="仿宋_GB2312" w:cs="仿宋_GB2312"/>
                <w:szCs w:val="21"/>
              </w:rPr>
            </w:pPr>
            <w:r>
              <w:rPr>
                <w:rFonts w:hint="eastAsia" w:ascii="仿宋_GB2312" w:hAnsi="仿宋_GB2312" w:eastAsia="仿宋_GB2312" w:cs="仿宋_GB2312"/>
                <w:bCs/>
                <w:szCs w:val="21"/>
              </w:rPr>
              <w:t>按照国家有关法律、法规和执业准则和相关工作要求，组织开展福建省自然灾害应急能力提升工程预警指挥项目竣工财务决算编制工作，按批复概算，分类整理项目立项、概算、设计、预算、付款等项目建设全过程资料，结合项目结算审核成果报告，对建筑安装投资、设备投资、待摊投资、工程建设其他费用进行清理核算，按要求代业主编制整个项目竣工财务决算报告及报表。</w:t>
            </w:r>
          </w:p>
        </w:tc>
        <w:tc>
          <w:tcPr>
            <w:tcW w:w="683" w:type="dxa"/>
          </w:tcPr>
          <w:p>
            <w:pPr>
              <w:spacing w:line="320" w:lineRule="exact"/>
              <w:jc w:val="left"/>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8086" w:type="dxa"/>
            <w:vAlign w:val="center"/>
          </w:tcPr>
          <w:p>
            <w:pPr>
              <w:spacing w:line="320" w:lineRule="exact"/>
              <w:rPr>
                <w:rFonts w:ascii="仿宋_GB2312" w:hAnsi="仿宋_GB2312" w:eastAsia="仿宋_GB2312" w:cs="仿宋_GB2312"/>
                <w:b/>
                <w:szCs w:val="21"/>
              </w:rPr>
            </w:pPr>
            <w:r>
              <w:rPr>
                <w:rFonts w:hint="eastAsia" w:ascii="仿宋_GB2312" w:hAnsi="仿宋_GB2312" w:eastAsia="仿宋_GB2312" w:cs="仿宋_GB2312"/>
                <w:b/>
                <w:szCs w:val="21"/>
              </w:rPr>
              <w:t>资质要求：</w:t>
            </w:r>
          </w:p>
          <w:p>
            <w:pPr>
              <w:spacing w:line="320" w:lineRule="exact"/>
              <w:ind w:firstLine="0" w:firstLineChars="0"/>
              <w:rPr>
                <w:rFonts w:hint="eastAsia" w:ascii="仿宋_GB2312" w:hAnsi="仿宋_GB2312" w:eastAsia="仿宋_GB2312" w:cs="仿宋_GB2312"/>
                <w:bCs/>
                <w:szCs w:val="21"/>
              </w:rPr>
            </w:pPr>
            <w:r>
              <w:rPr>
                <w:rFonts w:hint="eastAsia" w:ascii="仿宋_GB2312" w:hAnsi="仿宋_GB2312" w:eastAsia="仿宋_GB2312" w:cs="仿宋_GB2312"/>
                <w:bCs/>
                <w:szCs w:val="21"/>
              </w:rPr>
              <w:t>1.境内具备在有效期内的独立企业法人营业执照，具有独立承担民事责任和履行合同能力。</w:t>
            </w:r>
          </w:p>
          <w:p>
            <w:pPr>
              <w:spacing w:line="320" w:lineRule="exact"/>
              <w:ind w:firstLine="0" w:firstLineChars="0"/>
              <w:contextualSpacing w:val="0"/>
              <w:rPr>
                <w:rFonts w:hint="eastAsia" w:ascii="仿宋_GB2312" w:hAnsi="仿宋_GB2312" w:eastAsia="仿宋_GB2312" w:cs="仿宋_GB2312"/>
                <w:bCs/>
                <w:szCs w:val="21"/>
              </w:rPr>
            </w:pPr>
            <w:r>
              <w:rPr>
                <w:rFonts w:hint="eastAsia" w:ascii="仿宋_GB2312" w:hAnsi="仿宋_GB2312" w:eastAsia="仿宋_GB2312" w:cs="仿宋_GB2312"/>
                <w:bCs/>
                <w:kern w:val="2"/>
                <w:sz w:val="21"/>
                <w:szCs w:val="21"/>
              </w:rPr>
              <w:t>2.供应商须持有财政部门颁发的有效《会计师事务所执业证书》。</w:t>
            </w:r>
          </w:p>
          <w:p>
            <w:pPr>
              <w:spacing w:line="320" w:lineRule="exact"/>
              <w:rPr>
                <w:rFonts w:ascii="仿宋_GB2312" w:hAnsi="仿宋_GB2312" w:eastAsia="仿宋_GB2312" w:cs="仿宋_GB2312"/>
                <w:bCs/>
                <w:szCs w:val="21"/>
              </w:rPr>
            </w:pPr>
            <w:r>
              <w:rPr>
                <w:rFonts w:hint="eastAsia" w:ascii="仿宋_GB2312" w:hAnsi="仿宋_GB2312" w:eastAsia="仿宋_GB2312" w:cs="仿宋_GB2312"/>
                <w:bCs/>
                <w:kern w:val="2"/>
                <w:sz w:val="21"/>
                <w:szCs w:val="21"/>
              </w:rPr>
              <w:t>3</w:t>
            </w:r>
            <w:r>
              <w:rPr>
                <w:rFonts w:ascii="仿宋_GB2312" w:hAnsi="仿宋_GB2312" w:eastAsia="仿宋_GB2312" w:cs="仿宋_GB2312"/>
                <w:bCs/>
                <w:kern w:val="2"/>
                <w:sz w:val="21"/>
                <w:szCs w:val="21"/>
              </w:rPr>
              <w:t>.供应商</w:t>
            </w:r>
            <w:r>
              <w:rPr>
                <w:rFonts w:hint="eastAsia" w:ascii="仿宋_GB2312" w:hAnsi="仿宋_GB2312" w:eastAsia="仿宋_GB2312" w:cs="仿宋_GB2312"/>
                <w:bCs/>
                <w:kern w:val="2"/>
                <w:sz w:val="21"/>
                <w:szCs w:val="21"/>
              </w:rPr>
              <w:t>在近三年内的经营活动中无重大违法记录。</w:t>
            </w:r>
          </w:p>
        </w:tc>
        <w:tc>
          <w:tcPr>
            <w:tcW w:w="683" w:type="dxa"/>
          </w:tcPr>
          <w:p>
            <w:pPr>
              <w:spacing w:line="320" w:lineRule="exact"/>
              <w:jc w:val="left"/>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08"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8086" w:type="dxa"/>
            <w:vAlign w:val="center"/>
          </w:tcPr>
          <w:p>
            <w:pPr>
              <w:widowControl/>
              <w:spacing w:line="320" w:lineRule="exact"/>
              <w:rPr>
                <w:rFonts w:ascii="仿宋_GB2312" w:hAnsi="仿宋_GB2312" w:eastAsia="仿宋_GB2312" w:cs="仿宋_GB2312"/>
                <w:b/>
                <w:bCs/>
                <w:szCs w:val="21"/>
              </w:rPr>
            </w:pPr>
            <w:r>
              <w:rPr>
                <w:rFonts w:hint="eastAsia" w:ascii="仿宋_GB2312" w:hAnsi="仿宋_GB2312" w:eastAsia="仿宋_GB2312" w:cs="仿宋_GB2312"/>
                <w:b/>
                <w:bCs/>
                <w:szCs w:val="21"/>
              </w:rPr>
              <w:t>服务要求：</w:t>
            </w:r>
          </w:p>
          <w:p>
            <w:pPr>
              <w:widowControl/>
              <w:spacing w:line="320" w:lineRule="exact"/>
              <w:rPr>
                <w:rFonts w:ascii="仿宋_GB2312" w:hAnsi="仿宋_GB2312" w:eastAsia="仿宋_GB2312" w:cs="仿宋_GB2312"/>
                <w:szCs w:val="21"/>
              </w:rPr>
            </w:pPr>
            <w:r>
              <w:rPr>
                <w:rFonts w:hint="eastAsia" w:ascii="仿宋_GB2312" w:hAnsi="仿宋_GB2312" w:eastAsia="仿宋_GB2312" w:cs="仿宋_GB2312"/>
                <w:bCs/>
                <w:szCs w:val="21"/>
              </w:rPr>
              <w:t>成交供应商应为本项目制定针对性强、切实可行的《实施方案》，配备满足工作要求的软硬件设备和经验丰富专业人员，以确保本采购项目服务成果按时交付。成交供应商对其出具文件的法律效力负责，采购人对其出具的相关文件质量进行监督，并有权委托其他社会中介机构对成果文件进行审核。根据本项目后续审核审计等工作需要，成交供应商应配合采购人开展相关工作，并向有关单位对其成果文件进行说明和修正。</w:t>
            </w:r>
          </w:p>
        </w:tc>
        <w:tc>
          <w:tcPr>
            <w:tcW w:w="683" w:type="dxa"/>
          </w:tcPr>
          <w:p>
            <w:pPr>
              <w:spacing w:line="320" w:lineRule="exact"/>
              <w:jc w:val="left"/>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08"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8086" w:type="dxa"/>
            <w:vAlign w:val="center"/>
          </w:tcPr>
          <w:p>
            <w:pPr>
              <w:widowControl/>
              <w:spacing w:line="320" w:lineRule="exact"/>
              <w:rPr>
                <w:rFonts w:ascii="仿宋_GB2312" w:hAnsi="仿宋_GB2312" w:eastAsia="仿宋_GB2312" w:cs="仿宋_GB2312"/>
                <w:b/>
                <w:bCs/>
                <w:szCs w:val="21"/>
              </w:rPr>
            </w:pPr>
            <w:r>
              <w:rPr>
                <w:rFonts w:hint="eastAsia" w:ascii="仿宋_GB2312" w:hAnsi="仿宋_GB2312" w:eastAsia="仿宋_GB2312" w:cs="仿宋_GB2312"/>
                <w:b/>
                <w:bCs/>
                <w:szCs w:val="21"/>
              </w:rPr>
              <w:t>技术要求：</w:t>
            </w:r>
          </w:p>
          <w:p>
            <w:pPr>
              <w:widowControl/>
              <w:spacing w:line="320" w:lineRule="exact"/>
              <w:rPr>
                <w:rFonts w:ascii="仿宋_GB2312" w:hAnsi="仿宋_GB2312" w:eastAsia="仿宋_GB2312" w:cs="仿宋_GB2312"/>
                <w:bCs/>
                <w:szCs w:val="21"/>
              </w:rPr>
            </w:pPr>
            <w:r>
              <w:rPr>
                <w:rFonts w:hint="eastAsia" w:ascii="仿宋_GB2312" w:hAnsi="仿宋_GB2312" w:eastAsia="仿宋_GB2312" w:cs="仿宋_GB2312"/>
                <w:bCs/>
                <w:szCs w:val="21"/>
              </w:rPr>
              <w:t>1、竣工决算编制准备：了解本项目相关国家和福建省有关文件法规对建设项目基建程序、概算调整、设计变更及建设资金使用等事项的规定，了解掌握本项目立项审批、概算审批、招投标、合同签订、合同履行、进度款支付及项目内控制度方面的情况，对本项目建设管理依据的充分性、建设程序的规范性、建设资料手续的完整性提供依据对建设项目的全部资料进行收集、整理，对项目实施过程中的各项经济活动进行梳理，对确保所有数据准确无误，为竣工财务决算编制做好充分准备。</w:t>
            </w:r>
          </w:p>
          <w:p>
            <w:pPr>
              <w:widowControl/>
              <w:spacing w:line="320" w:lineRule="exact"/>
              <w:rPr>
                <w:rFonts w:ascii="仿宋_GB2312" w:hAnsi="仿宋_GB2312" w:eastAsia="仿宋_GB2312" w:cs="仿宋_GB2312"/>
                <w:bCs/>
                <w:szCs w:val="21"/>
              </w:rPr>
            </w:pPr>
            <w:r>
              <w:rPr>
                <w:rFonts w:hint="eastAsia" w:ascii="仿宋_GB2312" w:hAnsi="仿宋_GB2312" w:eastAsia="仿宋_GB2312" w:cs="仿宋_GB2312"/>
                <w:bCs/>
                <w:szCs w:val="21"/>
              </w:rPr>
              <w:t>2、项目建设概况编制：梳理项目立项、可行性研究报告、初步设计等程序性内容的审批情况，查看项目建设的勘察设计、招标投标、合同签订、建设监理、资金收付等相关工作情况，梳理项目建设执行按批准的初步设计及概算情况，审查明细建设内容中的概算调整、内容调整、标准调整、计划调整等情况，看项目总投资是否超过批复概算，并分析超支节约的原因。</w:t>
            </w:r>
          </w:p>
          <w:p>
            <w:pPr>
              <w:widowControl/>
              <w:spacing w:line="320" w:lineRule="exact"/>
              <w:rPr>
                <w:rFonts w:ascii="仿宋_GB2312" w:hAnsi="仿宋_GB2312" w:eastAsia="仿宋_GB2312" w:cs="仿宋_GB2312"/>
                <w:bCs/>
                <w:szCs w:val="21"/>
              </w:rPr>
            </w:pPr>
            <w:r>
              <w:rPr>
                <w:rFonts w:hint="eastAsia" w:ascii="仿宋_GB2312" w:hAnsi="仿宋_GB2312" w:eastAsia="仿宋_GB2312" w:cs="仿宋_GB2312"/>
                <w:bCs/>
                <w:szCs w:val="21"/>
              </w:rPr>
              <w:t>3、费用归集与计算：依据结算审核成果，合理归集建安投资、设备投资、固定资产、待摊投资及其他投资，查看各项资金的到位、资金使用管理及会计核算情况，向建设单位及时反馈项目资金管理、成本核算、费用列支存在的问题，并提出调整处理意见。按概算和基本建设财务会计制度归集相应的报表，编制相关财务决算报表。</w:t>
            </w:r>
          </w:p>
          <w:p>
            <w:pPr>
              <w:widowControl/>
              <w:spacing w:line="320" w:lineRule="exact"/>
              <w:rPr>
                <w:rFonts w:ascii="仿宋_GB2312" w:hAnsi="仿宋_GB2312" w:eastAsia="仿宋_GB2312" w:cs="仿宋_GB2312"/>
                <w:bCs/>
                <w:szCs w:val="21"/>
              </w:rPr>
            </w:pPr>
            <w:r>
              <w:rPr>
                <w:rFonts w:hint="eastAsia" w:ascii="仿宋_GB2312" w:hAnsi="仿宋_GB2312" w:eastAsia="仿宋_GB2312" w:cs="仿宋_GB2312"/>
                <w:bCs/>
                <w:szCs w:val="21"/>
              </w:rPr>
              <w:t>4、财务分析与建议：对建设项目的财务状况进行分析，包括成本构成、资金使用情况、财务合规性等，提出处理意见或建议。决算报告中应载明：项目概况、开竣工时间、建设地点、建设内容、建设规模、投资构成、资金来源、收支节超等情况，列明建设项目实现预期的经济效益、社会效益和环境效益等目标情况。</w:t>
            </w:r>
          </w:p>
          <w:p>
            <w:pPr>
              <w:widowControl/>
              <w:spacing w:line="320" w:lineRule="exact"/>
              <w:rPr>
                <w:rFonts w:ascii="仿宋_GB2312" w:hAnsi="仿宋_GB2312" w:eastAsia="仿宋_GB2312" w:cs="仿宋_GB2312"/>
                <w:szCs w:val="21"/>
              </w:rPr>
            </w:pPr>
            <w:r>
              <w:rPr>
                <w:rFonts w:hint="eastAsia" w:ascii="仿宋_GB2312" w:hAnsi="仿宋_GB2312" w:eastAsia="仿宋_GB2312" w:cs="仿宋_GB2312"/>
                <w:bCs/>
                <w:szCs w:val="21"/>
              </w:rPr>
              <w:t>5、财务决算报告编制：在征求建设单位意见基础上，对财务决算报表和报告进行调整完善，出具真实、准确、完整、合规的竣工财务决算报告及财务决算报表，对特殊事项提供必要的附注和说明。</w:t>
            </w:r>
          </w:p>
        </w:tc>
        <w:tc>
          <w:tcPr>
            <w:tcW w:w="683" w:type="dxa"/>
          </w:tcPr>
          <w:p>
            <w:pPr>
              <w:spacing w:line="320" w:lineRule="exact"/>
              <w:jc w:val="left"/>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08"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8086" w:type="dxa"/>
            <w:vAlign w:val="center"/>
          </w:tcPr>
          <w:p>
            <w:pPr>
              <w:widowControl/>
              <w:spacing w:line="320" w:lineRule="exact"/>
              <w:rPr>
                <w:rFonts w:ascii="仿宋_GB2312" w:hAnsi="仿宋_GB2312" w:eastAsia="仿宋_GB2312" w:cs="仿宋_GB2312"/>
                <w:b/>
                <w:szCs w:val="21"/>
              </w:rPr>
            </w:pPr>
            <w:r>
              <w:rPr>
                <w:rFonts w:hint="eastAsia" w:ascii="仿宋_GB2312" w:hAnsi="仿宋_GB2312" w:eastAsia="仿宋_GB2312" w:cs="仿宋_GB2312"/>
                <w:b/>
                <w:szCs w:val="21"/>
              </w:rPr>
              <w:t>人员要求：</w:t>
            </w:r>
          </w:p>
          <w:p>
            <w:pPr>
              <w:widowControl/>
              <w:spacing w:line="320" w:lineRule="exact"/>
              <w:rPr>
                <w:rFonts w:hint="eastAsia" w:ascii="仿宋_GB2312" w:hAnsi="仿宋_GB2312" w:eastAsia="仿宋_GB2312" w:cs="仿宋_GB2312"/>
                <w:bCs/>
                <w:szCs w:val="21"/>
              </w:rPr>
            </w:pPr>
            <w:r>
              <w:rPr>
                <w:rFonts w:hint="eastAsia" w:ascii="仿宋_GB2312" w:hAnsi="仿宋_GB2312" w:eastAsia="仿宋_GB2312" w:cs="仿宋_GB2312"/>
                <w:bCs/>
                <w:szCs w:val="21"/>
              </w:rPr>
              <w:t>（1）成交供应商应根据本项目特点组织经验丰富、专业技术水平高、组织能力强的编制人员和管理人员组成编制团队，团队人员不少于3人（含项目负责人）。</w:t>
            </w:r>
          </w:p>
          <w:p>
            <w:pPr>
              <w:widowControl/>
              <w:spacing w:line="320" w:lineRule="exact"/>
            </w:pPr>
            <w:r>
              <w:rPr>
                <w:rFonts w:hint="eastAsia" w:ascii="仿宋_GB2312" w:hAnsi="仿宋_GB2312" w:eastAsia="仿宋_GB2312" w:cs="仿宋_GB2312"/>
                <w:bCs/>
                <w:szCs w:val="21"/>
              </w:rPr>
              <w:t>（2）团队人员名单经采购人审核确认后，不得随意更换，若由于不可控原因需中途撤换，须经采购人同意认可，替换人员的资质、经验条件不得低于被替换人员。</w:t>
            </w:r>
          </w:p>
        </w:tc>
        <w:tc>
          <w:tcPr>
            <w:tcW w:w="683" w:type="dxa"/>
          </w:tcPr>
          <w:p>
            <w:pPr>
              <w:spacing w:line="320" w:lineRule="exact"/>
              <w:jc w:val="left"/>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08"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8086" w:type="dxa"/>
            <w:vAlign w:val="center"/>
          </w:tcPr>
          <w:p>
            <w:pPr>
              <w:widowControl/>
              <w:spacing w:line="320" w:lineRule="exact"/>
              <w:rPr>
                <w:rFonts w:ascii="仿宋_GB2312" w:hAnsi="仿宋_GB2312" w:eastAsia="仿宋_GB2312" w:cs="仿宋_GB2312"/>
                <w:b/>
                <w:szCs w:val="21"/>
              </w:rPr>
            </w:pPr>
            <w:r>
              <w:rPr>
                <w:rFonts w:hint="eastAsia" w:ascii="仿宋_GB2312" w:hAnsi="仿宋_GB2312" w:eastAsia="仿宋_GB2312" w:cs="仿宋_GB2312"/>
                <w:b/>
                <w:szCs w:val="21"/>
              </w:rPr>
              <w:t>其他要求：</w:t>
            </w:r>
          </w:p>
          <w:p>
            <w:pPr>
              <w:widowControl/>
              <w:spacing w:line="320" w:lineRule="exact"/>
              <w:rPr>
                <w:rFonts w:hint="eastAsia" w:ascii="仿宋_GB2312" w:hAnsi="仿宋_GB2312" w:eastAsia="仿宋_GB2312" w:cs="仿宋_GB2312"/>
                <w:bCs/>
                <w:szCs w:val="21"/>
              </w:rPr>
            </w:pPr>
            <w:r>
              <w:rPr>
                <w:rFonts w:hint="eastAsia" w:ascii="仿宋_GB2312" w:hAnsi="仿宋_GB2312" w:eastAsia="仿宋_GB2312" w:cs="仿宋_GB2312"/>
                <w:bCs/>
                <w:szCs w:val="21"/>
              </w:rPr>
              <w:t>（1）财务决算成果文件质量应符合《基本建设项目竣工财务决算管理暂行办法》（财建〔2016〕503号)，以及有关财务管理法规、规章、会计准则等。</w:t>
            </w:r>
          </w:p>
          <w:p>
            <w:pPr>
              <w:widowControl/>
              <w:spacing w:line="320" w:lineRule="exact"/>
              <w:rPr>
                <w:rFonts w:hint="eastAsia" w:ascii="仿宋_GB2312" w:hAnsi="仿宋_GB2312" w:eastAsia="仿宋_GB2312" w:cs="仿宋_GB2312"/>
                <w:bCs/>
                <w:szCs w:val="21"/>
              </w:rPr>
            </w:pPr>
            <w:r>
              <w:rPr>
                <w:rFonts w:hint="eastAsia" w:ascii="仿宋_GB2312" w:hAnsi="仿宋_GB2312" w:eastAsia="仿宋_GB2312" w:cs="仿宋_GB2312"/>
                <w:bCs/>
                <w:szCs w:val="21"/>
              </w:rPr>
              <w:t>（2）信息收集分析。落实编制过程中资料完整性、真实准确性、清晰有据的要求，准确、全面地收集项目实施过程中的相关文件资料、财务数据、绩效评价数据，确保编制成果可追溯，真实可靠。</w:t>
            </w:r>
          </w:p>
          <w:p>
            <w:pPr>
              <w:widowControl/>
              <w:spacing w:line="320" w:lineRule="exact"/>
              <w:rPr>
                <w:rFonts w:hint="eastAsia" w:ascii="仿宋_GB2312" w:hAnsi="仿宋_GB2312" w:eastAsia="仿宋_GB2312" w:cs="仿宋_GB2312"/>
                <w:bCs/>
                <w:szCs w:val="21"/>
              </w:rPr>
            </w:pPr>
            <w:r>
              <w:rPr>
                <w:rFonts w:hint="eastAsia" w:ascii="仿宋_GB2312" w:hAnsi="仿宋_GB2312" w:eastAsia="仿宋_GB2312" w:cs="仿宋_GB2312"/>
                <w:bCs/>
                <w:szCs w:val="21"/>
              </w:rPr>
              <w:t>（3）报告质量。编制的决算报告应准确清晰，避免含糊不清。针对评价过程中发现的问题，提出切实可行的对策建议。</w:t>
            </w:r>
          </w:p>
          <w:p>
            <w:pPr>
              <w:widowControl/>
              <w:spacing w:line="320" w:lineRule="exact"/>
              <w:rPr>
                <w:rFonts w:ascii="仿宋_GB2312" w:hAnsi="仿宋_GB2312" w:eastAsia="仿宋_GB2312" w:cs="仿宋_GB2312"/>
                <w:bCs/>
                <w:szCs w:val="21"/>
              </w:rPr>
            </w:pPr>
            <w:r>
              <w:rPr>
                <w:rFonts w:hint="eastAsia" w:ascii="仿宋_GB2312" w:hAnsi="仿宋_GB2312" w:eastAsia="仿宋_GB2312" w:cs="仿宋_GB2312"/>
                <w:bCs/>
                <w:szCs w:val="21"/>
              </w:rPr>
              <w:t>（4）成交供应商不得参与后续预警指挥项目竣工财务决算审核/审计的投标活动。</w:t>
            </w:r>
          </w:p>
        </w:tc>
        <w:tc>
          <w:tcPr>
            <w:tcW w:w="683" w:type="dxa"/>
          </w:tcPr>
          <w:p>
            <w:pPr>
              <w:spacing w:line="320" w:lineRule="exact"/>
              <w:jc w:val="left"/>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8086" w:type="dxa"/>
            <w:vAlign w:val="center"/>
          </w:tcPr>
          <w:p>
            <w:pPr>
              <w:spacing w:line="320" w:lineRule="exact"/>
              <w:rPr>
                <w:rFonts w:ascii="仿宋_GB2312" w:hAnsi="仿宋_GB2312" w:eastAsia="仿宋_GB2312" w:cs="仿宋_GB2312"/>
                <w:b/>
                <w:szCs w:val="21"/>
              </w:rPr>
            </w:pPr>
            <w:r>
              <w:rPr>
                <w:rFonts w:hint="eastAsia" w:ascii="仿宋_GB2312" w:hAnsi="仿宋_GB2312" w:eastAsia="仿宋_GB2312" w:cs="仿宋_GB2312"/>
                <w:b/>
                <w:szCs w:val="21"/>
              </w:rPr>
              <w:t>交付时间：</w:t>
            </w:r>
            <w:r>
              <w:rPr>
                <w:rFonts w:hint="eastAsia" w:ascii="仿宋_GB2312" w:hAnsi="仿宋_GB2312" w:eastAsia="仿宋_GB2312" w:cs="仿宋_GB2312"/>
                <w:b w:val="0"/>
                <w:bCs/>
                <w:szCs w:val="21"/>
              </w:rPr>
              <w:t>收到并确认送审资料后45个日历日内交付。</w:t>
            </w:r>
          </w:p>
        </w:tc>
        <w:tc>
          <w:tcPr>
            <w:tcW w:w="683" w:type="dxa"/>
          </w:tcPr>
          <w:p>
            <w:pPr>
              <w:spacing w:line="320" w:lineRule="exact"/>
              <w:jc w:val="left"/>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spacing w:line="32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w:t>
            </w:r>
          </w:p>
        </w:tc>
        <w:tc>
          <w:tcPr>
            <w:tcW w:w="8086" w:type="dxa"/>
            <w:vAlign w:val="center"/>
          </w:tcPr>
          <w:p>
            <w:pPr>
              <w:spacing w:line="320" w:lineRule="exact"/>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rPr>
              <w:t>交付条件：</w:t>
            </w:r>
            <w:r>
              <w:rPr>
                <w:rFonts w:hint="eastAsia" w:ascii="仿宋_GB2312" w:hAnsi="仿宋_GB2312" w:eastAsia="仿宋_GB2312" w:cs="仿宋_GB2312"/>
                <w:b w:val="0"/>
                <w:bCs/>
                <w:szCs w:val="21"/>
              </w:rPr>
              <w:t>提交合格、完整的项目竣工财务决算编制报告及相关资料</w:t>
            </w:r>
            <w:r>
              <w:rPr>
                <w:rFonts w:hint="eastAsia" w:ascii="仿宋_GB2312" w:hAnsi="仿宋_GB2312" w:eastAsia="仿宋_GB2312" w:cs="仿宋_GB2312"/>
                <w:b w:val="0"/>
                <w:bCs/>
                <w:szCs w:val="21"/>
                <w:lang w:eastAsia="zh-CN"/>
              </w:rPr>
              <w:t>。</w:t>
            </w:r>
          </w:p>
        </w:tc>
        <w:tc>
          <w:tcPr>
            <w:tcW w:w="683" w:type="dxa"/>
          </w:tcPr>
          <w:p>
            <w:pPr>
              <w:spacing w:line="320" w:lineRule="exact"/>
              <w:jc w:val="left"/>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spacing w:line="32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9</w:t>
            </w:r>
          </w:p>
        </w:tc>
        <w:tc>
          <w:tcPr>
            <w:tcW w:w="8086" w:type="dxa"/>
            <w:vAlign w:val="center"/>
          </w:tcPr>
          <w:p>
            <w:pPr>
              <w:spacing w:line="320" w:lineRule="exact"/>
              <w:rPr>
                <w:rFonts w:ascii="仿宋_GB2312" w:hAnsi="仿宋_GB2312" w:eastAsia="仿宋_GB2312" w:cs="仿宋_GB2312"/>
                <w:b/>
                <w:szCs w:val="21"/>
              </w:rPr>
            </w:pPr>
            <w:r>
              <w:rPr>
                <w:rFonts w:hint="eastAsia" w:ascii="仿宋_GB2312" w:hAnsi="仿宋_GB2312" w:eastAsia="仿宋_GB2312" w:cs="仿宋_GB2312"/>
                <w:b/>
                <w:szCs w:val="21"/>
              </w:rPr>
              <w:t>验收方式：</w:t>
            </w:r>
            <w:r>
              <w:rPr>
                <w:rFonts w:hint="eastAsia" w:ascii="仿宋_GB2312" w:hAnsi="仿宋_GB2312" w:eastAsia="仿宋_GB2312" w:cs="仿宋_GB2312"/>
                <w:bCs/>
                <w:szCs w:val="21"/>
              </w:rPr>
              <w:t>按照国家相关标准规范要求，完成审计工作并出具正式竣工财务决算编制审计报告，由采购人根据实际情况进行确认，确认合格后完成验收。</w:t>
            </w:r>
          </w:p>
        </w:tc>
        <w:tc>
          <w:tcPr>
            <w:tcW w:w="683" w:type="dxa"/>
          </w:tcPr>
          <w:p>
            <w:pPr>
              <w:spacing w:line="320" w:lineRule="exact"/>
              <w:jc w:val="left"/>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spacing w:line="32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10</w:t>
            </w:r>
          </w:p>
        </w:tc>
        <w:tc>
          <w:tcPr>
            <w:tcW w:w="8086" w:type="dxa"/>
            <w:vAlign w:val="center"/>
          </w:tcPr>
          <w:p>
            <w:pPr>
              <w:spacing w:line="320" w:lineRule="exact"/>
              <w:rPr>
                <w:rFonts w:ascii="仿宋_GB2312" w:hAnsi="仿宋_GB2312" w:eastAsia="仿宋_GB2312" w:cs="仿宋_GB2312"/>
                <w:b/>
                <w:bCs/>
                <w:szCs w:val="21"/>
              </w:rPr>
            </w:pPr>
            <w:r>
              <w:rPr>
                <w:rFonts w:hint="eastAsia" w:ascii="仿宋_GB2312" w:hAnsi="仿宋_GB2312" w:eastAsia="仿宋_GB2312" w:cs="仿宋_GB2312"/>
                <w:b/>
                <w:bCs/>
                <w:szCs w:val="21"/>
              </w:rPr>
              <w:t>违约责任：</w:t>
            </w:r>
          </w:p>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1.若中标供应商未能在规定时限内完成</w:t>
            </w:r>
            <w:r>
              <w:rPr>
                <w:rFonts w:hint="eastAsia" w:ascii="仿宋_GB2312" w:hAnsi="仿宋_GB2312" w:eastAsia="仿宋_GB2312" w:cs="仿宋_GB2312"/>
                <w:bCs/>
                <w:szCs w:val="21"/>
              </w:rPr>
              <w:t>项目竣工财务决算编制审计报告</w:t>
            </w:r>
            <w:r>
              <w:rPr>
                <w:rFonts w:hint="eastAsia" w:ascii="仿宋_GB2312" w:hAnsi="仿宋_GB2312" w:eastAsia="仿宋_GB2312" w:cs="仿宋_GB2312"/>
                <w:szCs w:val="21"/>
              </w:rPr>
              <w:t>，在十个日历日时间内双方互相谅解。如中标供应商在十个日历日后仍未完成的，采购人有权要求中标供应商按每延误一天缴纳合同总金额的百分之五作为违约金。中标供应商无正当理由逾期超过约定日期超过30日仍不能交付的，视为“中标供应商不按合同约定履约”。</w:t>
            </w:r>
          </w:p>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2.中标供应商不得转包、擅自变更、中止或者终止合同，承诺的工作人员不得擅自更换，否则采购人有权终止合同。给采购人造成损失的，中标供应商还应承担相应的赔偿责任。</w:t>
            </w:r>
          </w:p>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3.如发现中标供应商的服务不符合要求的，中标供应商应按采购人的要求进行整改。若中标供应商不愿配合采购人要求进行整改，采购人有权解除合同，且不承担任何赔偿责任。</w:t>
            </w:r>
          </w:p>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4.中标供应商存在下列情形的，全额扣减审计费用：接受可能影响公正执行职务的不当利益；隐瞒被审计单位违反国家财经法纪行为；泄露被审计单位的商业秘密。</w:t>
            </w:r>
          </w:p>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5.中标供应商若不按规定与采购人签订合同或者签订合同后不履行其响应承诺或者由于中标供应商自身原因造成无法履行合同的，均视为中标供应商违约，中标供应商应向采购人支付成交金额10%的违约金。给采购人造成损失的，还必须赔偿全部损失。</w:t>
            </w:r>
          </w:p>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6.在签订采购合同之后，中标供应商无正当理由要求解除合同的，视为中标供应商违约，中标供应商应向采购人支付合同金额10%的违约金，对采购人造成的损失的，还必须赔偿全部损失。</w:t>
            </w:r>
          </w:p>
        </w:tc>
        <w:tc>
          <w:tcPr>
            <w:tcW w:w="683" w:type="dxa"/>
          </w:tcPr>
          <w:p>
            <w:pPr>
              <w:spacing w:line="320" w:lineRule="exact"/>
              <w:jc w:val="left"/>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spacing w:line="32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1</w:t>
            </w:r>
          </w:p>
        </w:tc>
        <w:tc>
          <w:tcPr>
            <w:tcW w:w="8086" w:type="dxa"/>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b/>
                <w:szCs w:val="21"/>
              </w:rPr>
              <w:t>保密要求：</w:t>
            </w:r>
            <w:r>
              <w:rPr>
                <w:rFonts w:hint="eastAsia" w:ascii="仿宋_GB2312" w:hAnsi="仿宋_GB2312" w:eastAsia="仿宋_GB2312" w:cs="仿宋_GB2312"/>
                <w:szCs w:val="21"/>
              </w:rPr>
              <w:t>中标供应商对服务过程中知悉的国家秘密、商业秘密负有保密责任，对项目技术文件以及由采购人提供的所有内部资料、技术文档和信息予以保密。未经采购人书面许可，中标供应商不得以任何形式向第三方透露本项目任何内容。</w:t>
            </w:r>
          </w:p>
        </w:tc>
        <w:tc>
          <w:tcPr>
            <w:tcW w:w="683" w:type="dxa"/>
          </w:tcPr>
          <w:p>
            <w:pPr>
              <w:spacing w:line="320" w:lineRule="exact"/>
              <w:jc w:val="left"/>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spacing w:line="32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w:t>
            </w:r>
          </w:p>
        </w:tc>
        <w:tc>
          <w:tcPr>
            <w:tcW w:w="8086" w:type="dxa"/>
            <w:vAlign w:val="center"/>
          </w:tcPr>
          <w:p>
            <w:pPr>
              <w:spacing w:line="320" w:lineRule="exact"/>
              <w:rPr>
                <w:rFonts w:ascii="仿宋_GB2312" w:hAnsi="仿宋_GB2312" w:eastAsia="仿宋_GB2312" w:cs="仿宋_GB2312"/>
                <w:b/>
                <w:szCs w:val="21"/>
              </w:rPr>
            </w:pPr>
            <w:r>
              <w:rPr>
                <w:rFonts w:hint="eastAsia" w:ascii="仿宋_GB2312" w:hAnsi="仿宋_GB2312" w:eastAsia="仿宋_GB2312" w:cs="仿宋_GB2312"/>
                <w:b/>
                <w:szCs w:val="21"/>
              </w:rPr>
              <w:t>报价与结算要求：</w:t>
            </w:r>
          </w:p>
          <w:p>
            <w:pPr>
              <w:spacing w:line="320" w:lineRule="exact"/>
              <w:rPr>
                <w:rFonts w:ascii="仿宋_GB2312" w:hAnsi="仿宋_GB2312" w:eastAsia="仿宋_GB2312" w:cs="仿宋_GB2312"/>
                <w:bCs/>
                <w:szCs w:val="21"/>
              </w:rPr>
            </w:pPr>
            <w:r>
              <w:rPr>
                <w:rFonts w:hint="eastAsia" w:ascii="仿宋_GB2312" w:hAnsi="仿宋_GB2312" w:eastAsia="仿宋_GB2312" w:cs="仿宋_GB2312"/>
                <w:bCs/>
                <w:szCs w:val="21"/>
              </w:rPr>
              <w:t>1.本项目采用包干价的方式进行报价，报价应包括实施和完成服务所需的劳务费、技术服务费、交通、通讯、办公场地、管理费、税费和利润等费用和政策性文件规定及合同包含的所有风险、责任等各项应有的费用，供应商应自行考虑服务期的各种风险进行谨慎报价。</w:t>
            </w:r>
          </w:p>
          <w:p>
            <w:pPr>
              <w:spacing w:line="320" w:lineRule="exact"/>
            </w:pPr>
            <w:r>
              <w:rPr>
                <w:rFonts w:hint="eastAsia" w:ascii="仿宋_GB2312" w:hAnsi="仿宋_GB2312" w:eastAsia="仿宋_GB2312" w:cs="仿宋_GB2312"/>
                <w:bCs/>
                <w:szCs w:val="21"/>
              </w:rPr>
              <w:t>2.待预警指挥项目竣工结算审定金额明确后，以竣工结算审定金额作为送审金额重新测算付费金额（算法如下：参照省财政厅《关于修订&lt;福建省省级财政性资金投资项目对外委托评审及付费管理办法&gt;的通知》（闽财建〔2008〕141号）附加2建设项目预算、竣工结（决）算审核付费标准表中“竣工财务决算审核”计算金额后，参照福建省财政评审中心2025年度框架协议方式，采取竣工财务决算审计类型付费标准的70%，即将计算金额打7折后作为付费金额），并按重新测算的付费金额与中标合同金额中较低者作为决算编制项目合同的最终结算金额。</w:t>
            </w:r>
          </w:p>
        </w:tc>
        <w:tc>
          <w:tcPr>
            <w:tcW w:w="683" w:type="dxa"/>
          </w:tcPr>
          <w:p>
            <w:pPr>
              <w:spacing w:line="320" w:lineRule="exact"/>
              <w:jc w:val="left"/>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trPr>
        <w:tc>
          <w:tcPr>
            <w:tcW w:w="508" w:type="dxa"/>
            <w:vAlign w:val="center"/>
          </w:tcPr>
          <w:p>
            <w:pPr>
              <w:spacing w:line="32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3</w:t>
            </w:r>
          </w:p>
        </w:tc>
        <w:tc>
          <w:tcPr>
            <w:tcW w:w="8086" w:type="dxa"/>
            <w:vAlign w:val="center"/>
          </w:tcPr>
          <w:p>
            <w:pPr>
              <w:spacing w:line="320" w:lineRule="exact"/>
              <w:rPr>
                <w:rFonts w:ascii="仿宋_GB2312" w:hAnsi="仿宋_GB2312" w:eastAsia="仿宋_GB2312" w:cs="仿宋_GB2312"/>
                <w:szCs w:val="21"/>
              </w:rPr>
            </w:pPr>
            <w:r>
              <w:rPr>
                <w:rFonts w:hint="eastAsia" w:ascii="仿宋_GB2312" w:hAnsi="仿宋_GB2312" w:eastAsia="仿宋_GB2312" w:cs="仿宋_GB2312"/>
                <w:b/>
                <w:szCs w:val="21"/>
              </w:rPr>
              <w:t>知识产权</w:t>
            </w:r>
            <w:r>
              <w:rPr>
                <w:rFonts w:hint="eastAsia" w:ascii="仿宋_GB2312" w:hAnsi="仿宋_GB2312" w:eastAsia="仿宋_GB2312" w:cs="仿宋_GB2312"/>
                <w:szCs w:val="21"/>
              </w:rPr>
              <w:t>：</w:t>
            </w:r>
          </w:p>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1.中标供应商保证，采购人方在使用该货物、软件或者货物的任何一部分时，免受第三方提出的侵犯其专利权、商标权或其他知识产权的起诉。如发生此类纠纷，由中标供应商承担一切责任；如因此给采购人方造成损失的，中标供应商负责全额赔偿。</w:t>
            </w:r>
          </w:p>
          <w:p>
            <w:pPr>
              <w:spacing w:line="320" w:lineRule="exact"/>
              <w:rPr>
                <w:rFonts w:ascii="仿宋_GB2312" w:hAnsi="仿宋_GB2312" w:eastAsia="仿宋_GB2312" w:cs="仿宋_GB2312"/>
                <w:b/>
                <w:szCs w:val="21"/>
              </w:rPr>
            </w:pPr>
            <w:r>
              <w:rPr>
                <w:rFonts w:hint="eastAsia" w:ascii="仿宋_GB2312" w:hAnsi="仿宋_GB2312" w:eastAsia="仿宋_GB2312" w:cs="仿宋_GB2312"/>
                <w:szCs w:val="21"/>
              </w:rPr>
              <w:t>2.中标供应商为执行本合同而提供的技术资料或者其他相关资料、软件等由采购人方永久免费使用。</w:t>
            </w:r>
          </w:p>
        </w:tc>
        <w:tc>
          <w:tcPr>
            <w:tcW w:w="683" w:type="dxa"/>
          </w:tcPr>
          <w:p>
            <w:pPr>
              <w:spacing w:line="320" w:lineRule="exact"/>
              <w:jc w:val="left"/>
              <w:rPr>
                <w:rFonts w:ascii="仿宋_GB2312" w:hAnsi="仿宋_GB2312" w:eastAsia="仿宋_GB2312" w:cs="仿宋_GB2312"/>
                <w:b/>
                <w:szCs w:val="21"/>
              </w:rPr>
            </w:pPr>
          </w:p>
        </w:tc>
      </w:tr>
    </w:tbl>
    <w:p>
      <w:pPr>
        <w:spacing w:line="500" w:lineRule="exact"/>
        <w:jc w:val="left"/>
        <w:rPr>
          <w:b/>
          <w:sz w:val="28"/>
          <w:szCs w:val="28"/>
        </w:rPr>
      </w:pPr>
      <w:r>
        <w:rPr>
          <w:rFonts w:hint="eastAsia"/>
          <w:b/>
          <w:sz w:val="28"/>
          <w:szCs w:val="28"/>
        </w:rPr>
        <w:t>注：供应商应对以上招标要求进行仔细应答，需全部无偏离，才能视为有效投标。（此应答文件应加盖单位公章作为投标组成文件）</w:t>
      </w:r>
    </w:p>
    <w:p>
      <w:pPr>
        <w:rPr>
          <w:rFonts w:ascii="仿宋_GB2312" w:eastAsia="仿宋_GB2312"/>
          <w:sz w:val="32"/>
          <w:szCs w:val="32"/>
        </w:rPr>
      </w:pPr>
      <w:r>
        <w:rPr>
          <w:rFonts w:hint="eastAsia" w:ascii="仿宋_GB2312" w:eastAsia="仿宋_GB2312"/>
          <w:sz w:val="32"/>
          <w:szCs w:val="32"/>
        </w:rPr>
        <w:br w:type="page"/>
      </w:r>
    </w:p>
    <w:p>
      <w:pPr>
        <w:widowControl/>
        <w:spacing w:line="520" w:lineRule="exact"/>
        <w:contextualSpacing/>
        <w:jc w:val="left"/>
        <w:outlineLvl w:val="0"/>
        <w:rPr>
          <w:rFonts w:ascii="黑体" w:hAnsi="黑体" w:eastAsia="黑体" w:cs="黑体"/>
          <w:sz w:val="32"/>
          <w:szCs w:val="32"/>
        </w:rPr>
      </w:pPr>
      <w:r>
        <w:rPr>
          <w:rFonts w:hint="eastAsia" w:ascii="黑体" w:hAnsi="黑体" w:eastAsia="黑体" w:cs="黑体"/>
          <w:sz w:val="32"/>
          <w:szCs w:val="32"/>
        </w:rPr>
        <w:t>附件3</w:t>
      </w:r>
    </w:p>
    <w:p>
      <w:pPr>
        <w:widowControl/>
        <w:spacing w:line="600" w:lineRule="exact"/>
        <w:jc w:val="center"/>
        <w:textAlignment w:val="center"/>
        <w:rPr>
          <w:rFonts w:ascii="方正小标宋简体" w:hAnsi="仿宋" w:eastAsia="方正小标宋简体" w:cs="仿宋"/>
          <w:sz w:val="44"/>
          <w:szCs w:val="44"/>
        </w:rPr>
      </w:pPr>
    </w:p>
    <w:p>
      <w:pPr>
        <w:widowControl/>
        <w:spacing w:line="600" w:lineRule="exact"/>
        <w:jc w:val="center"/>
        <w:textAlignment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参加采购活动前三年内在经营活动中没有重大违法记录书面声明</w:t>
      </w:r>
    </w:p>
    <w:p>
      <w:pPr>
        <w:spacing w:line="500" w:lineRule="exact"/>
        <w:ind w:firstLine="440" w:firstLineChars="200"/>
        <w:rPr>
          <w:rFonts w:ascii="宋体" w:hAnsi="宋体" w:cs="宋体"/>
          <w:sz w:val="22"/>
        </w:rPr>
      </w:pPr>
    </w:p>
    <w:p>
      <w:pPr>
        <w:spacing w:line="500" w:lineRule="exact"/>
        <w:rPr>
          <w:rFonts w:ascii="仿宋_GB2312" w:eastAsia="仿宋_GB2312"/>
          <w:sz w:val="32"/>
          <w:szCs w:val="32"/>
        </w:rPr>
      </w:pPr>
      <w:r>
        <w:rPr>
          <w:rFonts w:hint="eastAsia" w:ascii="仿宋_GB2312" w:eastAsia="仿宋_GB2312"/>
          <w:sz w:val="32"/>
          <w:szCs w:val="32"/>
        </w:rPr>
        <w:t>致福建省应急管理厅：</w:t>
      </w:r>
    </w:p>
    <w:p>
      <w:pPr>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参加采购活动前三年内，我方在经营活动中没有重大违法记录，也无行贿犯罪记录，否则产生不利后果由我方承担责任。</w:t>
      </w:r>
    </w:p>
    <w:p>
      <w:pPr>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特此声明。</w:t>
      </w:r>
    </w:p>
    <w:p>
      <w:pPr>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p>
      <w:pPr>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★注意：</w:t>
      </w:r>
    </w:p>
    <w:p>
      <w:pPr>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1.“重大违法记录”指投标人因违法经营受到刑事处罚或责令停产停业、吊销许可证或执照、较大数额罚款等行政处罚。</w:t>
      </w:r>
    </w:p>
    <w:p>
      <w:pPr>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2.纸质投标文件正本中的本声明应为原件。</w:t>
      </w:r>
    </w:p>
    <w:p>
      <w:pPr>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3.请投标人根据实际情况如实声明，否则视为提供虚假材料。</w:t>
      </w:r>
    </w:p>
    <w:p>
      <w:pPr>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p>
      <w:pPr>
        <w:spacing w:line="500" w:lineRule="exact"/>
        <w:jc w:val="right"/>
        <w:rPr>
          <w:rFonts w:ascii="仿宋_GB2312" w:eastAsia="仿宋_GB2312"/>
          <w:sz w:val="32"/>
          <w:szCs w:val="32"/>
        </w:rPr>
      </w:pPr>
      <w:r>
        <w:rPr>
          <w:rFonts w:hint="eastAsia" w:ascii="仿宋_GB2312" w:eastAsia="仿宋_GB2312"/>
          <w:sz w:val="32"/>
          <w:szCs w:val="32"/>
        </w:rPr>
        <w:t>投标人：（全称并加盖单位公章）</w:t>
      </w:r>
    </w:p>
    <w:p>
      <w:pPr>
        <w:spacing w:line="500" w:lineRule="exact"/>
        <w:jc w:val="right"/>
        <w:rPr>
          <w:rFonts w:ascii="仿宋_GB2312" w:eastAsia="仿宋_GB2312"/>
          <w:sz w:val="32"/>
          <w:szCs w:val="32"/>
        </w:rPr>
      </w:pPr>
      <w:r>
        <w:rPr>
          <w:rFonts w:hint="eastAsia" w:ascii="仿宋_GB2312" w:eastAsia="仿宋_GB2312"/>
          <w:sz w:val="32"/>
          <w:szCs w:val="32"/>
        </w:rPr>
        <w:t>投标人代表签字：</w:t>
      </w:r>
      <w:r>
        <w:rPr>
          <w:rFonts w:hint="eastAsia" w:eastAsia="仿宋_GB2312"/>
          <w:sz w:val="32"/>
          <w:szCs w:val="32"/>
        </w:rPr>
        <w:t>                   </w:t>
      </w:r>
    </w:p>
    <w:p>
      <w:pPr>
        <w:shd w:val="clear" w:color="auto" w:fill="FFFFFF"/>
        <w:spacing w:line="500" w:lineRule="exact"/>
        <w:jc w:val="right"/>
        <w:rPr>
          <w:rFonts w:ascii="仿宋_GB2312" w:hAnsi="Times New Roman" w:eastAsia="仿宋_GB2312" w:cs="Times New Roman"/>
          <w:sz w:val="32"/>
          <w:szCs w:val="32"/>
        </w:rPr>
      </w:pPr>
      <w:r>
        <w:rPr>
          <w:rFonts w:hint="eastAsia" w:ascii="仿宋_GB2312" w:eastAsia="仿宋_GB2312"/>
          <w:sz w:val="32"/>
          <w:szCs w:val="32"/>
        </w:rPr>
        <w:t xml:space="preserve">日期：  </w:t>
      </w:r>
      <w:r>
        <w:rPr>
          <w:rFonts w:hint="eastAsia" w:eastAsia="仿宋_GB2312"/>
          <w:sz w:val="32"/>
          <w:szCs w:val="32"/>
        </w:rPr>
        <w:t>    </w:t>
      </w: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hint="eastAsia" w:ascii="仿宋_GB2312" w:eastAsia="仿宋_GB2312"/>
          <w:sz w:val="32"/>
          <w:szCs w:val="32"/>
        </w:rPr>
        <w:t>月</w:t>
      </w:r>
      <w:r>
        <w:rPr>
          <w:rFonts w:hint="eastAsia" w:eastAsia="仿宋_GB2312"/>
          <w:sz w:val="32"/>
          <w:szCs w:val="32"/>
        </w:rPr>
        <w:t>     </w:t>
      </w:r>
      <w:r>
        <w:rPr>
          <w:rFonts w:hint="eastAsia" w:ascii="仿宋_GB2312" w:eastAsia="仿宋_GB2312"/>
          <w:sz w:val="32"/>
          <w:szCs w:val="32"/>
        </w:rPr>
        <w:t>日</w:t>
      </w:r>
    </w:p>
    <w:p>
      <w:pPr>
        <w:rPr>
          <w:kern w:val="0"/>
        </w:rPr>
      </w:pPr>
    </w:p>
    <w:p>
      <w:pPr>
        <w:rPr>
          <w:rFonts w:ascii="黑体" w:hAnsi="黑体" w:eastAsia="黑体" w:cs="宋体"/>
          <w:kern w:val="0"/>
          <w:sz w:val="32"/>
          <w:szCs w:val="21"/>
        </w:rPr>
      </w:pPr>
    </w:p>
    <w:p>
      <w:pPr>
        <w:spacing w:line="600" w:lineRule="exact"/>
        <w:contextualSpacing/>
        <w:rPr>
          <w:rFonts w:ascii="黑体" w:hAnsi="黑体" w:eastAsia="黑体" w:cs="宋体"/>
          <w:kern w:val="0"/>
          <w:sz w:val="32"/>
          <w:szCs w:val="21"/>
        </w:rPr>
      </w:pPr>
    </w:p>
    <w:p>
      <w:pPr>
        <w:rPr>
          <w:kern w:val="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M2E2NmE5MjZhMGRmODI1ZjMyNmQ5MjRhMDEyZjAifQ=="/>
    <w:docVar w:name="KSO_WPS_MARK_KEY" w:val="70fdcdb2-91ba-498e-a7c6-f1dc5a8db441"/>
  </w:docVars>
  <w:rsids>
    <w:rsidRoot w:val="00083E87"/>
    <w:rsid w:val="00013913"/>
    <w:rsid w:val="00041ED6"/>
    <w:rsid w:val="00045DB3"/>
    <w:rsid w:val="00056CDC"/>
    <w:rsid w:val="00083E87"/>
    <w:rsid w:val="00085669"/>
    <w:rsid w:val="00087991"/>
    <w:rsid w:val="00093602"/>
    <w:rsid w:val="000A129C"/>
    <w:rsid w:val="000A247E"/>
    <w:rsid w:val="000A4442"/>
    <w:rsid w:val="000B41AD"/>
    <w:rsid w:val="000D49F8"/>
    <w:rsid w:val="000F0E02"/>
    <w:rsid w:val="000F293E"/>
    <w:rsid w:val="00107525"/>
    <w:rsid w:val="00117CE6"/>
    <w:rsid w:val="00124FBC"/>
    <w:rsid w:val="0012746E"/>
    <w:rsid w:val="00151EE3"/>
    <w:rsid w:val="00153DD0"/>
    <w:rsid w:val="00154504"/>
    <w:rsid w:val="0016116E"/>
    <w:rsid w:val="00162B02"/>
    <w:rsid w:val="00166ED5"/>
    <w:rsid w:val="00170878"/>
    <w:rsid w:val="00185C84"/>
    <w:rsid w:val="001A7598"/>
    <w:rsid w:val="001B3FCA"/>
    <w:rsid w:val="001C2149"/>
    <w:rsid w:val="001C3534"/>
    <w:rsid w:val="001C55FF"/>
    <w:rsid w:val="001E11F6"/>
    <w:rsid w:val="001F3351"/>
    <w:rsid w:val="00236283"/>
    <w:rsid w:val="00261B57"/>
    <w:rsid w:val="00262AF2"/>
    <w:rsid w:val="0026737C"/>
    <w:rsid w:val="002A6EF4"/>
    <w:rsid w:val="002B4361"/>
    <w:rsid w:val="002B6033"/>
    <w:rsid w:val="002D2E22"/>
    <w:rsid w:val="00315168"/>
    <w:rsid w:val="003309ED"/>
    <w:rsid w:val="00332651"/>
    <w:rsid w:val="0033297A"/>
    <w:rsid w:val="00337FC1"/>
    <w:rsid w:val="00340504"/>
    <w:rsid w:val="0034114B"/>
    <w:rsid w:val="003418FA"/>
    <w:rsid w:val="00351254"/>
    <w:rsid w:val="0038034A"/>
    <w:rsid w:val="0038174B"/>
    <w:rsid w:val="003840DE"/>
    <w:rsid w:val="00397115"/>
    <w:rsid w:val="003A28A0"/>
    <w:rsid w:val="003B6FC2"/>
    <w:rsid w:val="003D0B91"/>
    <w:rsid w:val="003D3BDB"/>
    <w:rsid w:val="003E247A"/>
    <w:rsid w:val="00410105"/>
    <w:rsid w:val="00410C4D"/>
    <w:rsid w:val="004146EA"/>
    <w:rsid w:val="00415692"/>
    <w:rsid w:val="00436F45"/>
    <w:rsid w:val="00440A49"/>
    <w:rsid w:val="00442450"/>
    <w:rsid w:val="00443A5E"/>
    <w:rsid w:val="00456B01"/>
    <w:rsid w:val="00461832"/>
    <w:rsid w:val="00475546"/>
    <w:rsid w:val="00480D77"/>
    <w:rsid w:val="004C4BF1"/>
    <w:rsid w:val="004F540B"/>
    <w:rsid w:val="0050376A"/>
    <w:rsid w:val="00505976"/>
    <w:rsid w:val="0051222C"/>
    <w:rsid w:val="00520030"/>
    <w:rsid w:val="00521208"/>
    <w:rsid w:val="005220B2"/>
    <w:rsid w:val="0052352A"/>
    <w:rsid w:val="00530B27"/>
    <w:rsid w:val="00542A81"/>
    <w:rsid w:val="00552FEB"/>
    <w:rsid w:val="00570C84"/>
    <w:rsid w:val="0057720A"/>
    <w:rsid w:val="005A152F"/>
    <w:rsid w:val="005B5D77"/>
    <w:rsid w:val="005C639B"/>
    <w:rsid w:val="005D77C1"/>
    <w:rsid w:val="005F0886"/>
    <w:rsid w:val="005F4D17"/>
    <w:rsid w:val="005F4E64"/>
    <w:rsid w:val="00607078"/>
    <w:rsid w:val="00631D7D"/>
    <w:rsid w:val="00641C69"/>
    <w:rsid w:val="00646A39"/>
    <w:rsid w:val="0064713B"/>
    <w:rsid w:val="006513B4"/>
    <w:rsid w:val="00660521"/>
    <w:rsid w:val="00661629"/>
    <w:rsid w:val="00663E0E"/>
    <w:rsid w:val="006B133E"/>
    <w:rsid w:val="006E7D7E"/>
    <w:rsid w:val="006F206C"/>
    <w:rsid w:val="006F3F0C"/>
    <w:rsid w:val="007038C0"/>
    <w:rsid w:val="00712111"/>
    <w:rsid w:val="007304E7"/>
    <w:rsid w:val="00736659"/>
    <w:rsid w:val="00742476"/>
    <w:rsid w:val="00752D19"/>
    <w:rsid w:val="00777526"/>
    <w:rsid w:val="00792466"/>
    <w:rsid w:val="007A2832"/>
    <w:rsid w:val="007B6B32"/>
    <w:rsid w:val="007E119B"/>
    <w:rsid w:val="007F2EDB"/>
    <w:rsid w:val="007F500A"/>
    <w:rsid w:val="007F5AD3"/>
    <w:rsid w:val="008212A9"/>
    <w:rsid w:val="0085367F"/>
    <w:rsid w:val="0085634E"/>
    <w:rsid w:val="00861171"/>
    <w:rsid w:val="00880686"/>
    <w:rsid w:val="00883597"/>
    <w:rsid w:val="00890DC8"/>
    <w:rsid w:val="008A74DC"/>
    <w:rsid w:val="008C4AAE"/>
    <w:rsid w:val="008C6A65"/>
    <w:rsid w:val="008D188C"/>
    <w:rsid w:val="008D29B4"/>
    <w:rsid w:val="008D2B30"/>
    <w:rsid w:val="008F12BE"/>
    <w:rsid w:val="008F1890"/>
    <w:rsid w:val="00936286"/>
    <w:rsid w:val="00951CA8"/>
    <w:rsid w:val="009532E3"/>
    <w:rsid w:val="009750D6"/>
    <w:rsid w:val="009856E8"/>
    <w:rsid w:val="009912EB"/>
    <w:rsid w:val="0099475C"/>
    <w:rsid w:val="009C06F4"/>
    <w:rsid w:val="009E0F5C"/>
    <w:rsid w:val="00A077C1"/>
    <w:rsid w:val="00A2021B"/>
    <w:rsid w:val="00A2111E"/>
    <w:rsid w:val="00A21580"/>
    <w:rsid w:val="00A52D76"/>
    <w:rsid w:val="00A578D9"/>
    <w:rsid w:val="00A73AE0"/>
    <w:rsid w:val="00A85AA3"/>
    <w:rsid w:val="00A87F74"/>
    <w:rsid w:val="00A903D6"/>
    <w:rsid w:val="00AA680D"/>
    <w:rsid w:val="00AC002D"/>
    <w:rsid w:val="00AC463B"/>
    <w:rsid w:val="00AC6FF7"/>
    <w:rsid w:val="00AD3088"/>
    <w:rsid w:val="00AD6743"/>
    <w:rsid w:val="00AD76DF"/>
    <w:rsid w:val="00AE3EC2"/>
    <w:rsid w:val="00AF0C0A"/>
    <w:rsid w:val="00B04CD6"/>
    <w:rsid w:val="00B25E85"/>
    <w:rsid w:val="00B52621"/>
    <w:rsid w:val="00B545AD"/>
    <w:rsid w:val="00BB0810"/>
    <w:rsid w:val="00BB6212"/>
    <w:rsid w:val="00BC2A3B"/>
    <w:rsid w:val="00BC5025"/>
    <w:rsid w:val="00BD2579"/>
    <w:rsid w:val="00BE133E"/>
    <w:rsid w:val="00BF4018"/>
    <w:rsid w:val="00C05C07"/>
    <w:rsid w:val="00C17EEE"/>
    <w:rsid w:val="00C24800"/>
    <w:rsid w:val="00C431CC"/>
    <w:rsid w:val="00C55B94"/>
    <w:rsid w:val="00C6714E"/>
    <w:rsid w:val="00C7030A"/>
    <w:rsid w:val="00C75C2D"/>
    <w:rsid w:val="00C823C4"/>
    <w:rsid w:val="00C843A9"/>
    <w:rsid w:val="00C912A6"/>
    <w:rsid w:val="00CA313B"/>
    <w:rsid w:val="00CA3485"/>
    <w:rsid w:val="00CA6E8E"/>
    <w:rsid w:val="00CA7829"/>
    <w:rsid w:val="00CD376B"/>
    <w:rsid w:val="00CD70A3"/>
    <w:rsid w:val="00CE27A0"/>
    <w:rsid w:val="00CE50D8"/>
    <w:rsid w:val="00CF0C59"/>
    <w:rsid w:val="00CF5E0E"/>
    <w:rsid w:val="00D15350"/>
    <w:rsid w:val="00D2191D"/>
    <w:rsid w:val="00D3696E"/>
    <w:rsid w:val="00D71277"/>
    <w:rsid w:val="00D71DA5"/>
    <w:rsid w:val="00D7317F"/>
    <w:rsid w:val="00D96D6C"/>
    <w:rsid w:val="00DB0164"/>
    <w:rsid w:val="00DB3974"/>
    <w:rsid w:val="00DB6054"/>
    <w:rsid w:val="00DC0BFC"/>
    <w:rsid w:val="00DD580F"/>
    <w:rsid w:val="00DE4737"/>
    <w:rsid w:val="00DF09AB"/>
    <w:rsid w:val="00E018A7"/>
    <w:rsid w:val="00E14C78"/>
    <w:rsid w:val="00E20F54"/>
    <w:rsid w:val="00E4035E"/>
    <w:rsid w:val="00E55FA4"/>
    <w:rsid w:val="00E73261"/>
    <w:rsid w:val="00E75B88"/>
    <w:rsid w:val="00EB0B73"/>
    <w:rsid w:val="00EB25A6"/>
    <w:rsid w:val="00EC10EF"/>
    <w:rsid w:val="00EC6D04"/>
    <w:rsid w:val="00EE62AF"/>
    <w:rsid w:val="00EE6ABE"/>
    <w:rsid w:val="00F3414C"/>
    <w:rsid w:val="00F36AF3"/>
    <w:rsid w:val="00F41E14"/>
    <w:rsid w:val="00F43F3F"/>
    <w:rsid w:val="00F469AB"/>
    <w:rsid w:val="00F9217B"/>
    <w:rsid w:val="00FC0F58"/>
    <w:rsid w:val="00FD5E4F"/>
    <w:rsid w:val="00FE4A57"/>
    <w:rsid w:val="00FF3C02"/>
    <w:rsid w:val="01465B42"/>
    <w:rsid w:val="015C1CB6"/>
    <w:rsid w:val="01AF5430"/>
    <w:rsid w:val="01D23370"/>
    <w:rsid w:val="01D6466C"/>
    <w:rsid w:val="01EE19B6"/>
    <w:rsid w:val="01F62F61"/>
    <w:rsid w:val="0203548B"/>
    <w:rsid w:val="0259260E"/>
    <w:rsid w:val="026A731F"/>
    <w:rsid w:val="028440C8"/>
    <w:rsid w:val="02AB5AF9"/>
    <w:rsid w:val="02B40E52"/>
    <w:rsid w:val="02DC4B76"/>
    <w:rsid w:val="030B2604"/>
    <w:rsid w:val="03333B32"/>
    <w:rsid w:val="03373DF5"/>
    <w:rsid w:val="039D0680"/>
    <w:rsid w:val="03EB4B0C"/>
    <w:rsid w:val="03EC6418"/>
    <w:rsid w:val="03EE3EEF"/>
    <w:rsid w:val="03F81E46"/>
    <w:rsid w:val="043D4E77"/>
    <w:rsid w:val="0444155D"/>
    <w:rsid w:val="045C354F"/>
    <w:rsid w:val="047221C4"/>
    <w:rsid w:val="04E71815"/>
    <w:rsid w:val="04E90B5B"/>
    <w:rsid w:val="050059D5"/>
    <w:rsid w:val="050517F7"/>
    <w:rsid w:val="0551001F"/>
    <w:rsid w:val="0560706F"/>
    <w:rsid w:val="0577315A"/>
    <w:rsid w:val="0596483F"/>
    <w:rsid w:val="05AF5591"/>
    <w:rsid w:val="05C2565F"/>
    <w:rsid w:val="06AF20C2"/>
    <w:rsid w:val="06B848E5"/>
    <w:rsid w:val="06D01FD2"/>
    <w:rsid w:val="06E30471"/>
    <w:rsid w:val="06FC6EAE"/>
    <w:rsid w:val="0759513E"/>
    <w:rsid w:val="077921D2"/>
    <w:rsid w:val="07823EA8"/>
    <w:rsid w:val="07B6044A"/>
    <w:rsid w:val="07BE1CD6"/>
    <w:rsid w:val="07F41CF0"/>
    <w:rsid w:val="083E4D1A"/>
    <w:rsid w:val="08A63656"/>
    <w:rsid w:val="08BE1751"/>
    <w:rsid w:val="08CB4963"/>
    <w:rsid w:val="08D34A25"/>
    <w:rsid w:val="08E00448"/>
    <w:rsid w:val="08E96F14"/>
    <w:rsid w:val="09104908"/>
    <w:rsid w:val="09247AC7"/>
    <w:rsid w:val="09253CD9"/>
    <w:rsid w:val="096648C3"/>
    <w:rsid w:val="09BA168F"/>
    <w:rsid w:val="09F00295"/>
    <w:rsid w:val="0A0848EE"/>
    <w:rsid w:val="0A3E4216"/>
    <w:rsid w:val="0A522CFE"/>
    <w:rsid w:val="0A595BA8"/>
    <w:rsid w:val="0A622F41"/>
    <w:rsid w:val="0A646C1C"/>
    <w:rsid w:val="0A682522"/>
    <w:rsid w:val="0A865FE4"/>
    <w:rsid w:val="0AB94B2B"/>
    <w:rsid w:val="0AC21C32"/>
    <w:rsid w:val="0ACE4A7B"/>
    <w:rsid w:val="0AFF2ED4"/>
    <w:rsid w:val="0B057D70"/>
    <w:rsid w:val="0B472A2B"/>
    <w:rsid w:val="0B492353"/>
    <w:rsid w:val="0B666A61"/>
    <w:rsid w:val="0B810AD6"/>
    <w:rsid w:val="0B8C4C9B"/>
    <w:rsid w:val="0BC1013B"/>
    <w:rsid w:val="0BEA06E2"/>
    <w:rsid w:val="0C030754"/>
    <w:rsid w:val="0C312FB0"/>
    <w:rsid w:val="0C3B1C9C"/>
    <w:rsid w:val="0C4C7929"/>
    <w:rsid w:val="0C533107"/>
    <w:rsid w:val="0C564D28"/>
    <w:rsid w:val="0C595851"/>
    <w:rsid w:val="0C6D3ABD"/>
    <w:rsid w:val="0C937D2A"/>
    <w:rsid w:val="0CAF4438"/>
    <w:rsid w:val="0CD328E7"/>
    <w:rsid w:val="0CD457A5"/>
    <w:rsid w:val="0CF63E15"/>
    <w:rsid w:val="0D22265C"/>
    <w:rsid w:val="0D2E62AC"/>
    <w:rsid w:val="0D6F6286"/>
    <w:rsid w:val="0D867784"/>
    <w:rsid w:val="0D8D133A"/>
    <w:rsid w:val="0DA26EE1"/>
    <w:rsid w:val="0DC13D2C"/>
    <w:rsid w:val="0DC564EC"/>
    <w:rsid w:val="0DF16743"/>
    <w:rsid w:val="0E2B511D"/>
    <w:rsid w:val="0E4D215A"/>
    <w:rsid w:val="0E562B24"/>
    <w:rsid w:val="0E63197E"/>
    <w:rsid w:val="0E7F38F4"/>
    <w:rsid w:val="0EAC6E81"/>
    <w:rsid w:val="0EC10FDA"/>
    <w:rsid w:val="0F4470B9"/>
    <w:rsid w:val="0F611659"/>
    <w:rsid w:val="0F753717"/>
    <w:rsid w:val="0F7C2CF7"/>
    <w:rsid w:val="0F901FFE"/>
    <w:rsid w:val="0F987E0A"/>
    <w:rsid w:val="105772C0"/>
    <w:rsid w:val="10806817"/>
    <w:rsid w:val="10BD7BA9"/>
    <w:rsid w:val="11276C93"/>
    <w:rsid w:val="11330D2C"/>
    <w:rsid w:val="113849FC"/>
    <w:rsid w:val="1142016F"/>
    <w:rsid w:val="11472E91"/>
    <w:rsid w:val="115437F5"/>
    <w:rsid w:val="1163049F"/>
    <w:rsid w:val="11A50A73"/>
    <w:rsid w:val="11AB719A"/>
    <w:rsid w:val="11BF336F"/>
    <w:rsid w:val="11C41CBA"/>
    <w:rsid w:val="11CF6595"/>
    <w:rsid w:val="12224A19"/>
    <w:rsid w:val="12320AF7"/>
    <w:rsid w:val="12465C88"/>
    <w:rsid w:val="12527726"/>
    <w:rsid w:val="12DF3786"/>
    <w:rsid w:val="1332191F"/>
    <w:rsid w:val="13481A5D"/>
    <w:rsid w:val="13533D6F"/>
    <w:rsid w:val="13A75E69"/>
    <w:rsid w:val="13D34EB0"/>
    <w:rsid w:val="14121FE2"/>
    <w:rsid w:val="143376FC"/>
    <w:rsid w:val="144F38B3"/>
    <w:rsid w:val="147E4D8F"/>
    <w:rsid w:val="14B60A59"/>
    <w:rsid w:val="14B922F8"/>
    <w:rsid w:val="14D1667B"/>
    <w:rsid w:val="150A49B0"/>
    <w:rsid w:val="15115C90"/>
    <w:rsid w:val="151B08BC"/>
    <w:rsid w:val="156A35F2"/>
    <w:rsid w:val="1582093B"/>
    <w:rsid w:val="15A76204"/>
    <w:rsid w:val="15C22826"/>
    <w:rsid w:val="15DF7B3C"/>
    <w:rsid w:val="16283A77"/>
    <w:rsid w:val="1637067E"/>
    <w:rsid w:val="166444E5"/>
    <w:rsid w:val="166646AA"/>
    <w:rsid w:val="169A4014"/>
    <w:rsid w:val="16B57CA9"/>
    <w:rsid w:val="16D17044"/>
    <w:rsid w:val="16EBF98F"/>
    <w:rsid w:val="17579806"/>
    <w:rsid w:val="17620A24"/>
    <w:rsid w:val="176921AD"/>
    <w:rsid w:val="1788526F"/>
    <w:rsid w:val="17A4103D"/>
    <w:rsid w:val="17B11066"/>
    <w:rsid w:val="17B84AE8"/>
    <w:rsid w:val="17C50FB3"/>
    <w:rsid w:val="17F3B300"/>
    <w:rsid w:val="17FF287D"/>
    <w:rsid w:val="18237BB8"/>
    <w:rsid w:val="18330044"/>
    <w:rsid w:val="18646F61"/>
    <w:rsid w:val="18696448"/>
    <w:rsid w:val="187E042F"/>
    <w:rsid w:val="188934B1"/>
    <w:rsid w:val="18FF22A3"/>
    <w:rsid w:val="196A1E12"/>
    <w:rsid w:val="197D7D98"/>
    <w:rsid w:val="199A59BC"/>
    <w:rsid w:val="199E271E"/>
    <w:rsid w:val="19E020D4"/>
    <w:rsid w:val="19ED659F"/>
    <w:rsid w:val="19FE255B"/>
    <w:rsid w:val="1A184EC1"/>
    <w:rsid w:val="1A1A3838"/>
    <w:rsid w:val="1A200723"/>
    <w:rsid w:val="1A2024D1"/>
    <w:rsid w:val="1A442393"/>
    <w:rsid w:val="1A747785"/>
    <w:rsid w:val="1A7F6458"/>
    <w:rsid w:val="1A915B90"/>
    <w:rsid w:val="1A9D2E3A"/>
    <w:rsid w:val="1AB0225C"/>
    <w:rsid w:val="1AF8185D"/>
    <w:rsid w:val="1B1A121B"/>
    <w:rsid w:val="1B212E8F"/>
    <w:rsid w:val="1B3426D8"/>
    <w:rsid w:val="1B481CDF"/>
    <w:rsid w:val="1B726045"/>
    <w:rsid w:val="1B80591D"/>
    <w:rsid w:val="1BC72084"/>
    <w:rsid w:val="1BC746DD"/>
    <w:rsid w:val="1BE82F92"/>
    <w:rsid w:val="1C223515"/>
    <w:rsid w:val="1C8F6BA7"/>
    <w:rsid w:val="1C9F3879"/>
    <w:rsid w:val="1CC47A8B"/>
    <w:rsid w:val="1CD102B4"/>
    <w:rsid w:val="1D001DD0"/>
    <w:rsid w:val="1D2A0873"/>
    <w:rsid w:val="1D2B7B0B"/>
    <w:rsid w:val="1D6B4E1D"/>
    <w:rsid w:val="1D8A1770"/>
    <w:rsid w:val="1DA1131B"/>
    <w:rsid w:val="1DA86E9A"/>
    <w:rsid w:val="1DDD4ACC"/>
    <w:rsid w:val="1DFC18B3"/>
    <w:rsid w:val="1E322705"/>
    <w:rsid w:val="1E470974"/>
    <w:rsid w:val="1E4805AA"/>
    <w:rsid w:val="1EE53CE9"/>
    <w:rsid w:val="1EFC3B58"/>
    <w:rsid w:val="1F1F3C4D"/>
    <w:rsid w:val="1F503957"/>
    <w:rsid w:val="1F75273D"/>
    <w:rsid w:val="1F7B840C"/>
    <w:rsid w:val="1F7F413E"/>
    <w:rsid w:val="1F927AB2"/>
    <w:rsid w:val="1FB30D56"/>
    <w:rsid w:val="1FE0446C"/>
    <w:rsid w:val="20521372"/>
    <w:rsid w:val="20530027"/>
    <w:rsid w:val="209166B6"/>
    <w:rsid w:val="20935018"/>
    <w:rsid w:val="20B63B8F"/>
    <w:rsid w:val="20C34CDF"/>
    <w:rsid w:val="20E717E9"/>
    <w:rsid w:val="20EF0E4F"/>
    <w:rsid w:val="20F621DE"/>
    <w:rsid w:val="2124758D"/>
    <w:rsid w:val="212E7BC9"/>
    <w:rsid w:val="215F7D83"/>
    <w:rsid w:val="21703535"/>
    <w:rsid w:val="218D2B42"/>
    <w:rsid w:val="21B6E577"/>
    <w:rsid w:val="21CB54D4"/>
    <w:rsid w:val="21ED69DD"/>
    <w:rsid w:val="21F23BC7"/>
    <w:rsid w:val="22015883"/>
    <w:rsid w:val="22146DBF"/>
    <w:rsid w:val="22357785"/>
    <w:rsid w:val="22460F43"/>
    <w:rsid w:val="226513C9"/>
    <w:rsid w:val="227D6E06"/>
    <w:rsid w:val="2291592F"/>
    <w:rsid w:val="229C4054"/>
    <w:rsid w:val="22EE0645"/>
    <w:rsid w:val="231908F9"/>
    <w:rsid w:val="23865B55"/>
    <w:rsid w:val="239A1546"/>
    <w:rsid w:val="23A36A83"/>
    <w:rsid w:val="23AB56B5"/>
    <w:rsid w:val="24083670"/>
    <w:rsid w:val="242B4894"/>
    <w:rsid w:val="24AA12D3"/>
    <w:rsid w:val="2500285A"/>
    <w:rsid w:val="25115838"/>
    <w:rsid w:val="25284504"/>
    <w:rsid w:val="25342B3F"/>
    <w:rsid w:val="256A4F48"/>
    <w:rsid w:val="2587FEAC"/>
    <w:rsid w:val="25971591"/>
    <w:rsid w:val="25B05051"/>
    <w:rsid w:val="25DC5D6A"/>
    <w:rsid w:val="26084E8D"/>
    <w:rsid w:val="260A6415"/>
    <w:rsid w:val="262707EE"/>
    <w:rsid w:val="2628108B"/>
    <w:rsid w:val="263A0DBE"/>
    <w:rsid w:val="26695200"/>
    <w:rsid w:val="268963F7"/>
    <w:rsid w:val="27286E69"/>
    <w:rsid w:val="277B4318"/>
    <w:rsid w:val="277F2FB7"/>
    <w:rsid w:val="27B150B0"/>
    <w:rsid w:val="27E85C7F"/>
    <w:rsid w:val="27F8480E"/>
    <w:rsid w:val="280E3AB8"/>
    <w:rsid w:val="28335AC5"/>
    <w:rsid w:val="289E5635"/>
    <w:rsid w:val="28B6775F"/>
    <w:rsid w:val="28E469E8"/>
    <w:rsid w:val="28EB2F4C"/>
    <w:rsid w:val="290731DA"/>
    <w:rsid w:val="29146191"/>
    <w:rsid w:val="296F0D7F"/>
    <w:rsid w:val="297E051F"/>
    <w:rsid w:val="298C1931"/>
    <w:rsid w:val="29A66B49"/>
    <w:rsid w:val="29DD14A8"/>
    <w:rsid w:val="2A2715E7"/>
    <w:rsid w:val="2A4D10C0"/>
    <w:rsid w:val="2A587A65"/>
    <w:rsid w:val="2AA63943"/>
    <w:rsid w:val="2B14220F"/>
    <w:rsid w:val="2B243A5E"/>
    <w:rsid w:val="2B27367F"/>
    <w:rsid w:val="2B395AE8"/>
    <w:rsid w:val="2B6AC35E"/>
    <w:rsid w:val="2B7C23D5"/>
    <w:rsid w:val="2B7F7FBC"/>
    <w:rsid w:val="2BD8066A"/>
    <w:rsid w:val="2C300C99"/>
    <w:rsid w:val="2C303665"/>
    <w:rsid w:val="2C545A11"/>
    <w:rsid w:val="2C642E7D"/>
    <w:rsid w:val="2C741CAC"/>
    <w:rsid w:val="2CAA39B2"/>
    <w:rsid w:val="2CB74F17"/>
    <w:rsid w:val="2CD12D82"/>
    <w:rsid w:val="2CE0675E"/>
    <w:rsid w:val="2D0B0DBF"/>
    <w:rsid w:val="2D313440"/>
    <w:rsid w:val="2D520C78"/>
    <w:rsid w:val="2D8C0151"/>
    <w:rsid w:val="2DC277C5"/>
    <w:rsid w:val="2E026666"/>
    <w:rsid w:val="2E075A2A"/>
    <w:rsid w:val="2E146961"/>
    <w:rsid w:val="2E2D9FB0"/>
    <w:rsid w:val="2E5D013C"/>
    <w:rsid w:val="2E642E7C"/>
    <w:rsid w:val="2E6632B7"/>
    <w:rsid w:val="2EB76F86"/>
    <w:rsid w:val="2EBC12E0"/>
    <w:rsid w:val="2EED483C"/>
    <w:rsid w:val="2EFA527D"/>
    <w:rsid w:val="2F311268"/>
    <w:rsid w:val="2F440E1F"/>
    <w:rsid w:val="2F5F6576"/>
    <w:rsid w:val="2F6A7BFA"/>
    <w:rsid w:val="2F6D3FB3"/>
    <w:rsid w:val="2F76700D"/>
    <w:rsid w:val="2FDDE360"/>
    <w:rsid w:val="2FEF144D"/>
    <w:rsid w:val="2FF72646"/>
    <w:rsid w:val="307B016D"/>
    <w:rsid w:val="30957FD9"/>
    <w:rsid w:val="30E42053"/>
    <w:rsid w:val="31496359"/>
    <w:rsid w:val="31B934DF"/>
    <w:rsid w:val="32300DF4"/>
    <w:rsid w:val="324F174E"/>
    <w:rsid w:val="326C0551"/>
    <w:rsid w:val="32860705"/>
    <w:rsid w:val="32897B2A"/>
    <w:rsid w:val="32C15A1E"/>
    <w:rsid w:val="32F05765"/>
    <w:rsid w:val="331F36A4"/>
    <w:rsid w:val="33435AC0"/>
    <w:rsid w:val="334D0383"/>
    <w:rsid w:val="338164CF"/>
    <w:rsid w:val="33953AD8"/>
    <w:rsid w:val="33A66585"/>
    <w:rsid w:val="33C5616B"/>
    <w:rsid w:val="33C60549"/>
    <w:rsid w:val="33D3403B"/>
    <w:rsid w:val="33F060F8"/>
    <w:rsid w:val="34036C94"/>
    <w:rsid w:val="340C3F92"/>
    <w:rsid w:val="341B3FDD"/>
    <w:rsid w:val="3434223A"/>
    <w:rsid w:val="345C6C44"/>
    <w:rsid w:val="34681C18"/>
    <w:rsid w:val="34975442"/>
    <w:rsid w:val="34C96FB4"/>
    <w:rsid w:val="34E4529F"/>
    <w:rsid w:val="34ED6AED"/>
    <w:rsid w:val="34FFA071"/>
    <w:rsid w:val="3500495A"/>
    <w:rsid w:val="350E3B42"/>
    <w:rsid w:val="352D5A06"/>
    <w:rsid w:val="35D24B6F"/>
    <w:rsid w:val="35F47882"/>
    <w:rsid w:val="35F7078B"/>
    <w:rsid w:val="35FE3356"/>
    <w:rsid w:val="360D6B71"/>
    <w:rsid w:val="361E1B63"/>
    <w:rsid w:val="364635D5"/>
    <w:rsid w:val="368334C0"/>
    <w:rsid w:val="36A6383E"/>
    <w:rsid w:val="36B978CE"/>
    <w:rsid w:val="36C73FA8"/>
    <w:rsid w:val="36E0150E"/>
    <w:rsid w:val="37040D59"/>
    <w:rsid w:val="375325B8"/>
    <w:rsid w:val="37585269"/>
    <w:rsid w:val="377D8621"/>
    <w:rsid w:val="37FB36FD"/>
    <w:rsid w:val="383822E5"/>
    <w:rsid w:val="387B14EE"/>
    <w:rsid w:val="389D0C7A"/>
    <w:rsid w:val="38CE2A9D"/>
    <w:rsid w:val="39045B6D"/>
    <w:rsid w:val="393A2AC7"/>
    <w:rsid w:val="39461AFC"/>
    <w:rsid w:val="39493A7B"/>
    <w:rsid w:val="3995462E"/>
    <w:rsid w:val="39C944DB"/>
    <w:rsid w:val="39F773AA"/>
    <w:rsid w:val="3A1E65D5"/>
    <w:rsid w:val="3A404F15"/>
    <w:rsid w:val="3A5C3E46"/>
    <w:rsid w:val="3A7213B6"/>
    <w:rsid w:val="3A7303FD"/>
    <w:rsid w:val="3A742699"/>
    <w:rsid w:val="3A9457C2"/>
    <w:rsid w:val="3ADE3AFB"/>
    <w:rsid w:val="3AFEFC31"/>
    <w:rsid w:val="3B084B8F"/>
    <w:rsid w:val="3B1E7B28"/>
    <w:rsid w:val="3B451940"/>
    <w:rsid w:val="3B8C0126"/>
    <w:rsid w:val="3BA5294F"/>
    <w:rsid w:val="3BB70A8F"/>
    <w:rsid w:val="3BB840A3"/>
    <w:rsid w:val="3BC1190E"/>
    <w:rsid w:val="3BC9416E"/>
    <w:rsid w:val="3BC97F25"/>
    <w:rsid w:val="3BE633E5"/>
    <w:rsid w:val="3BFE66BE"/>
    <w:rsid w:val="3BFF5E40"/>
    <w:rsid w:val="3C145EE2"/>
    <w:rsid w:val="3C294088"/>
    <w:rsid w:val="3C4542ED"/>
    <w:rsid w:val="3C4B0050"/>
    <w:rsid w:val="3C990630"/>
    <w:rsid w:val="3CFD624E"/>
    <w:rsid w:val="3D042809"/>
    <w:rsid w:val="3D182EED"/>
    <w:rsid w:val="3D287A48"/>
    <w:rsid w:val="3D4F2F4A"/>
    <w:rsid w:val="3D534664"/>
    <w:rsid w:val="3D5FC4A2"/>
    <w:rsid w:val="3D675213"/>
    <w:rsid w:val="3D6E1622"/>
    <w:rsid w:val="3DB23AF4"/>
    <w:rsid w:val="3DC15BF5"/>
    <w:rsid w:val="3DEF3376"/>
    <w:rsid w:val="3E102C67"/>
    <w:rsid w:val="3E6A1E9A"/>
    <w:rsid w:val="3ECB4757"/>
    <w:rsid w:val="3EDB4D58"/>
    <w:rsid w:val="3EEA1054"/>
    <w:rsid w:val="3EEF98C3"/>
    <w:rsid w:val="3EF611F8"/>
    <w:rsid w:val="3F0427BA"/>
    <w:rsid w:val="3F57F5AD"/>
    <w:rsid w:val="3F7647BE"/>
    <w:rsid w:val="3F961ADF"/>
    <w:rsid w:val="3FBDEFFE"/>
    <w:rsid w:val="3FE9B338"/>
    <w:rsid w:val="3FF71C17"/>
    <w:rsid w:val="3FFE676B"/>
    <w:rsid w:val="4007790F"/>
    <w:rsid w:val="400F1DB6"/>
    <w:rsid w:val="40336E77"/>
    <w:rsid w:val="404D19C2"/>
    <w:rsid w:val="405D778A"/>
    <w:rsid w:val="40BA5383"/>
    <w:rsid w:val="40FD49D1"/>
    <w:rsid w:val="411C1395"/>
    <w:rsid w:val="41275D3B"/>
    <w:rsid w:val="414E4574"/>
    <w:rsid w:val="416F6729"/>
    <w:rsid w:val="419B346B"/>
    <w:rsid w:val="41DB2FFE"/>
    <w:rsid w:val="42002A64"/>
    <w:rsid w:val="42022339"/>
    <w:rsid w:val="422833BF"/>
    <w:rsid w:val="4246491B"/>
    <w:rsid w:val="429626A0"/>
    <w:rsid w:val="42C46384"/>
    <w:rsid w:val="42EA009C"/>
    <w:rsid w:val="43720EA9"/>
    <w:rsid w:val="4374544A"/>
    <w:rsid w:val="438845FF"/>
    <w:rsid w:val="43BC0DA5"/>
    <w:rsid w:val="44142020"/>
    <w:rsid w:val="44615A3C"/>
    <w:rsid w:val="44A14C7E"/>
    <w:rsid w:val="44B518E4"/>
    <w:rsid w:val="44CB77A7"/>
    <w:rsid w:val="44CD4E80"/>
    <w:rsid w:val="44F514CE"/>
    <w:rsid w:val="44F8009A"/>
    <w:rsid w:val="451E04DF"/>
    <w:rsid w:val="45233F38"/>
    <w:rsid w:val="454F7F8B"/>
    <w:rsid w:val="455C6B0D"/>
    <w:rsid w:val="457B0D80"/>
    <w:rsid w:val="45AF6CCE"/>
    <w:rsid w:val="45B85B30"/>
    <w:rsid w:val="45DF2FAA"/>
    <w:rsid w:val="46184820"/>
    <w:rsid w:val="4625300F"/>
    <w:rsid w:val="463D6035"/>
    <w:rsid w:val="46A909BF"/>
    <w:rsid w:val="46B61599"/>
    <w:rsid w:val="46C47912"/>
    <w:rsid w:val="46D74474"/>
    <w:rsid w:val="470C12F8"/>
    <w:rsid w:val="472D61FA"/>
    <w:rsid w:val="473E2065"/>
    <w:rsid w:val="478E22BA"/>
    <w:rsid w:val="47D31AAF"/>
    <w:rsid w:val="47E524E0"/>
    <w:rsid w:val="480E2862"/>
    <w:rsid w:val="48396CD0"/>
    <w:rsid w:val="489A151D"/>
    <w:rsid w:val="49125F02"/>
    <w:rsid w:val="491E32FE"/>
    <w:rsid w:val="49357CB0"/>
    <w:rsid w:val="49582B5B"/>
    <w:rsid w:val="497946DF"/>
    <w:rsid w:val="497955D6"/>
    <w:rsid w:val="498908EE"/>
    <w:rsid w:val="498B1F6E"/>
    <w:rsid w:val="49C72748"/>
    <w:rsid w:val="49D92519"/>
    <w:rsid w:val="4A143551"/>
    <w:rsid w:val="4A311A18"/>
    <w:rsid w:val="4A606C52"/>
    <w:rsid w:val="4A8B6CBC"/>
    <w:rsid w:val="4A9A1CA8"/>
    <w:rsid w:val="4AFB06DE"/>
    <w:rsid w:val="4B1730BE"/>
    <w:rsid w:val="4B596751"/>
    <w:rsid w:val="4B644064"/>
    <w:rsid w:val="4B7644BC"/>
    <w:rsid w:val="4BA95660"/>
    <w:rsid w:val="4BB21BA6"/>
    <w:rsid w:val="4BC16FF4"/>
    <w:rsid w:val="4BE96317"/>
    <w:rsid w:val="4C1C054D"/>
    <w:rsid w:val="4C2823F2"/>
    <w:rsid w:val="4C320BA6"/>
    <w:rsid w:val="4C5C2F8D"/>
    <w:rsid w:val="4CA0275C"/>
    <w:rsid w:val="4CE70AA9"/>
    <w:rsid w:val="4CFC5D7C"/>
    <w:rsid w:val="4CFE4613"/>
    <w:rsid w:val="4D001B6A"/>
    <w:rsid w:val="4D241CFD"/>
    <w:rsid w:val="4D4C59B5"/>
    <w:rsid w:val="4D575276"/>
    <w:rsid w:val="4D5F42A8"/>
    <w:rsid w:val="4D624EA5"/>
    <w:rsid w:val="4D772BD1"/>
    <w:rsid w:val="4D785957"/>
    <w:rsid w:val="4D826A23"/>
    <w:rsid w:val="4DEDA1C7"/>
    <w:rsid w:val="4E2B2595"/>
    <w:rsid w:val="4E2C65B6"/>
    <w:rsid w:val="4E4F2D09"/>
    <w:rsid w:val="4E526D64"/>
    <w:rsid w:val="4E7E368F"/>
    <w:rsid w:val="4E8642F1"/>
    <w:rsid w:val="4E984750"/>
    <w:rsid w:val="4EA66BE5"/>
    <w:rsid w:val="4EB15812"/>
    <w:rsid w:val="4EB8094F"/>
    <w:rsid w:val="4EBD5F65"/>
    <w:rsid w:val="4EC92CA2"/>
    <w:rsid w:val="4EEC071D"/>
    <w:rsid w:val="4F0F2539"/>
    <w:rsid w:val="4F32BCC5"/>
    <w:rsid w:val="4F42290E"/>
    <w:rsid w:val="4F623F3A"/>
    <w:rsid w:val="4F7E40FD"/>
    <w:rsid w:val="4FBA06F6"/>
    <w:rsid w:val="4FBC16F6"/>
    <w:rsid w:val="4FCB2904"/>
    <w:rsid w:val="4FCFF541"/>
    <w:rsid w:val="4FE80A3E"/>
    <w:rsid w:val="4FEA76BC"/>
    <w:rsid w:val="500B45F0"/>
    <w:rsid w:val="50373AF5"/>
    <w:rsid w:val="50616DC4"/>
    <w:rsid w:val="50666C7A"/>
    <w:rsid w:val="50952378"/>
    <w:rsid w:val="50BB2978"/>
    <w:rsid w:val="50DC0D59"/>
    <w:rsid w:val="5104618C"/>
    <w:rsid w:val="510A4704"/>
    <w:rsid w:val="51360F0F"/>
    <w:rsid w:val="51430C9C"/>
    <w:rsid w:val="514E7348"/>
    <w:rsid w:val="518634B0"/>
    <w:rsid w:val="51865EDF"/>
    <w:rsid w:val="518A5EA7"/>
    <w:rsid w:val="51DD247A"/>
    <w:rsid w:val="51F009E5"/>
    <w:rsid w:val="51FF83C3"/>
    <w:rsid w:val="520231A8"/>
    <w:rsid w:val="521142C4"/>
    <w:rsid w:val="52263E21"/>
    <w:rsid w:val="522A08FB"/>
    <w:rsid w:val="52DE294E"/>
    <w:rsid w:val="52E15F9A"/>
    <w:rsid w:val="52E635B0"/>
    <w:rsid w:val="531D649E"/>
    <w:rsid w:val="53483FD6"/>
    <w:rsid w:val="534A0281"/>
    <w:rsid w:val="534A1D91"/>
    <w:rsid w:val="53630000"/>
    <w:rsid w:val="537856E5"/>
    <w:rsid w:val="537CE4AB"/>
    <w:rsid w:val="53970F8F"/>
    <w:rsid w:val="53A56FC8"/>
    <w:rsid w:val="5401658C"/>
    <w:rsid w:val="540E1011"/>
    <w:rsid w:val="541C54DC"/>
    <w:rsid w:val="54370568"/>
    <w:rsid w:val="54502FCA"/>
    <w:rsid w:val="545F361A"/>
    <w:rsid w:val="54AC24C0"/>
    <w:rsid w:val="54AF434B"/>
    <w:rsid w:val="54B64595"/>
    <w:rsid w:val="54DB4AA8"/>
    <w:rsid w:val="54DD70B2"/>
    <w:rsid w:val="5573542B"/>
    <w:rsid w:val="5587780D"/>
    <w:rsid w:val="558B472F"/>
    <w:rsid w:val="55A25EB5"/>
    <w:rsid w:val="55AF59CC"/>
    <w:rsid w:val="55B360D4"/>
    <w:rsid w:val="55EA01FB"/>
    <w:rsid w:val="560125A1"/>
    <w:rsid w:val="568B1FB7"/>
    <w:rsid w:val="56D147B3"/>
    <w:rsid w:val="56ED7295"/>
    <w:rsid w:val="56EE353E"/>
    <w:rsid w:val="571D2E3D"/>
    <w:rsid w:val="572B3C88"/>
    <w:rsid w:val="57446E9E"/>
    <w:rsid w:val="5778511F"/>
    <w:rsid w:val="578C0FB5"/>
    <w:rsid w:val="57970CC1"/>
    <w:rsid w:val="57972255"/>
    <w:rsid w:val="57A56DF5"/>
    <w:rsid w:val="57E325D6"/>
    <w:rsid w:val="57E427B4"/>
    <w:rsid w:val="57F30C49"/>
    <w:rsid w:val="57F6CD7E"/>
    <w:rsid w:val="58160494"/>
    <w:rsid w:val="58732F38"/>
    <w:rsid w:val="590A624B"/>
    <w:rsid w:val="59301A29"/>
    <w:rsid w:val="593D2C3B"/>
    <w:rsid w:val="59CB4BB4"/>
    <w:rsid w:val="59D6437F"/>
    <w:rsid w:val="59DD395F"/>
    <w:rsid w:val="59E3084A"/>
    <w:rsid w:val="59F17922"/>
    <w:rsid w:val="59FD9736"/>
    <w:rsid w:val="5A00764E"/>
    <w:rsid w:val="5A5108B4"/>
    <w:rsid w:val="5A5E6A84"/>
    <w:rsid w:val="5A75462C"/>
    <w:rsid w:val="5A76335E"/>
    <w:rsid w:val="5AC4067B"/>
    <w:rsid w:val="5AD526C3"/>
    <w:rsid w:val="5AEE56F8"/>
    <w:rsid w:val="5B032705"/>
    <w:rsid w:val="5B034B4C"/>
    <w:rsid w:val="5B322FA5"/>
    <w:rsid w:val="5BA200C9"/>
    <w:rsid w:val="5BB24978"/>
    <w:rsid w:val="5BC32C5C"/>
    <w:rsid w:val="5BC84C86"/>
    <w:rsid w:val="5BE54D4D"/>
    <w:rsid w:val="5BEA2363"/>
    <w:rsid w:val="5C125E56"/>
    <w:rsid w:val="5C1949F7"/>
    <w:rsid w:val="5C1D5290"/>
    <w:rsid w:val="5C203805"/>
    <w:rsid w:val="5C3C25D8"/>
    <w:rsid w:val="5C9B26DD"/>
    <w:rsid w:val="5CC23273"/>
    <w:rsid w:val="5CD728E8"/>
    <w:rsid w:val="5CEE7C31"/>
    <w:rsid w:val="5CEF0E0F"/>
    <w:rsid w:val="5D3258B6"/>
    <w:rsid w:val="5D726BC9"/>
    <w:rsid w:val="5D9179C6"/>
    <w:rsid w:val="5DC14B84"/>
    <w:rsid w:val="5DD46E27"/>
    <w:rsid w:val="5DF254FF"/>
    <w:rsid w:val="5DFA0A8C"/>
    <w:rsid w:val="5E167440"/>
    <w:rsid w:val="5E7A79CF"/>
    <w:rsid w:val="5E7D9F41"/>
    <w:rsid w:val="5E940365"/>
    <w:rsid w:val="5EDC36E7"/>
    <w:rsid w:val="5EFC6636"/>
    <w:rsid w:val="5F0B56C3"/>
    <w:rsid w:val="5F166FCB"/>
    <w:rsid w:val="5F2453F5"/>
    <w:rsid w:val="5F5851A2"/>
    <w:rsid w:val="5F6A42C5"/>
    <w:rsid w:val="5F905F57"/>
    <w:rsid w:val="5FB939A4"/>
    <w:rsid w:val="5FBF9191"/>
    <w:rsid w:val="5FDFF44B"/>
    <w:rsid w:val="5FF5861F"/>
    <w:rsid w:val="60065292"/>
    <w:rsid w:val="605924CC"/>
    <w:rsid w:val="605C63EB"/>
    <w:rsid w:val="606B0B28"/>
    <w:rsid w:val="60A84BC1"/>
    <w:rsid w:val="60BB3C85"/>
    <w:rsid w:val="60C95236"/>
    <w:rsid w:val="61047A23"/>
    <w:rsid w:val="613D4CE3"/>
    <w:rsid w:val="617F52FC"/>
    <w:rsid w:val="61AF3E33"/>
    <w:rsid w:val="61E645DC"/>
    <w:rsid w:val="6226798C"/>
    <w:rsid w:val="623E204E"/>
    <w:rsid w:val="625C563D"/>
    <w:rsid w:val="6282176B"/>
    <w:rsid w:val="62882711"/>
    <w:rsid w:val="62943029"/>
    <w:rsid w:val="629F1147"/>
    <w:rsid w:val="62A4228A"/>
    <w:rsid w:val="62CE02E9"/>
    <w:rsid w:val="632A6625"/>
    <w:rsid w:val="63370151"/>
    <w:rsid w:val="6360709F"/>
    <w:rsid w:val="63791226"/>
    <w:rsid w:val="63CB65D6"/>
    <w:rsid w:val="63FD0DA3"/>
    <w:rsid w:val="64293705"/>
    <w:rsid w:val="642D0BA5"/>
    <w:rsid w:val="64504D2E"/>
    <w:rsid w:val="647E414F"/>
    <w:rsid w:val="6489E483"/>
    <w:rsid w:val="6495434A"/>
    <w:rsid w:val="64B654D9"/>
    <w:rsid w:val="652C12F7"/>
    <w:rsid w:val="65715CF6"/>
    <w:rsid w:val="6577788C"/>
    <w:rsid w:val="658C5CC0"/>
    <w:rsid w:val="658D6DB1"/>
    <w:rsid w:val="65D06BCF"/>
    <w:rsid w:val="65F362B8"/>
    <w:rsid w:val="662326FA"/>
    <w:rsid w:val="66321C5D"/>
    <w:rsid w:val="6632293D"/>
    <w:rsid w:val="666E1FEF"/>
    <w:rsid w:val="668A2779"/>
    <w:rsid w:val="66F67E0E"/>
    <w:rsid w:val="67144738"/>
    <w:rsid w:val="673B1CC5"/>
    <w:rsid w:val="674E7C4A"/>
    <w:rsid w:val="6773320D"/>
    <w:rsid w:val="679D1925"/>
    <w:rsid w:val="67BA6F8C"/>
    <w:rsid w:val="67CB3C4A"/>
    <w:rsid w:val="67E4410B"/>
    <w:rsid w:val="68242759"/>
    <w:rsid w:val="686B482C"/>
    <w:rsid w:val="6881195A"/>
    <w:rsid w:val="68925915"/>
    <w:rsid w:val="68BD1ABB"/>
    <w:rsid w:val="68BE495C"/>
    <w:rsid w:val="68DF217A"/>
    <w:rsid w:val="69334A93"/>
    <w:rsid w:val="693E5A9D"/>
    <w:rsid w:val="694A0EF8"/>
    <w:rsid w:val="696E4FF6"/>
    <w:rsid w:val="699A7360"/>
    <w:rsid w:val="69A47A52"/>
    <w:rsid w:val="69AA358C"/>
    <w:rsid w:val="69AA53DD"/>
    <w:rsid w:val="6A2D097A"/>
    <w:rsid w:val="6A3D5D54"/>
    <w:rsid w:val="6A615DFE"/>
    <w:rsid w:val="6AA646DD"/>
    <w:rsid w:val="6B055783"/>
    <w:rsid w:val="6B576BA9"/>
    <w:rsid w:val="6B731601"/>
    <w:rsid w:val="6B731A0F"/>
    <w:rsid w:val="6B7E2906"/>
    <w:rsid w:val="6BBECCA8"/>
    <w:rsid w:val="6BD64EC5"/>
    <w:rsid w:val="6BEB20C8"/>
    <w:rsid w:val="6C18126F"/>
    <w:rsid w:val="6C1F5711"/>
    <w:rsid w:val="6C211DB1"/>
    <w:rsid w:val="6C6677E4"/>
    <w:rsid w:val="6C933351"/>
    <w:rsid w:val="6CA340F0"/>
    <w:rsid w:val="6CB33EDE"/>
    <w:rsid w:val="6CC35EDF"/>
    <w:rsid w:val="6CFC7E0A"/>
    <w:rsid w:val="6D260D22"/>
    <w:rsid w:val="6D68133A"/>
    <w:rsid w:val="6D694B55"/>
    <w:rsid w:val="6D7970A3"/>
    <w:rsid w:val="6D8C327A"/>
    <w:rsid w:val="6D8E2C21"/>
    <w:rsid w:val="6DD16EDF"/>
    <w:rsid w:val="6E103CBF"/>
    <w:rsid w:val="6E1B25FD"/>
    <w:rsid w:val="6E6267E7"/>
    <w:rsid w:val="6E794459"/>
    <w:rsid w:val="6E811138"/>
    <w:rsid w:val="6EA120C4"/>
    <w:rsid w:val="6EB70E20"/>
    <w:rsid w:val="6EE718D6"/>
    <w:rsid w:val="6F082DD5"/>
    <w:rsid w:val="6F1251D3"/>
    <w:rsid w:val="6F1A48B6"/>
    <w:rsid w:val="6F1E6154"/>
    <w:rsid w:val="6F348B82"/>
    <w:rsid w:val="6F506B8D"/>
    <w:rsid w:val="6F5A6404"/>
    <w:rsid w:val="6FB16FC8"/>
    <w:rsid w:val="6FB9134C"/>
    <w:rsid w:val="6FCB3921"/>
    <w:rsid w:val="6FF62235"/>
    <w:rsid w:val="70102266"/>
    <w:rsid w:val="7040326D"/>
    <w:rsid w:val="70654CBA"/>
    <w:rsid w:val="70744BA6"/>
    <w:rsid w:val="7074582F"/>
    <w:rsid w:val="70A26911"/>
    <w:rsid w:val="70A91E26"/>
    <w:rsid w:val="70BC9189"/>
    <w:rsid w:val="70C525FF"/>
    <w:rsid w:val="70D45BE7"/>
    <w:rsid w:val="70E3061C"/>
    <w:rsid w:val="71153587"/>
    <w:rsid w:val="712D62EE"/>
    <w:rsid w:val="714D4ACF"/>
    <w:rsid w:val="718C4A2A"/>
    <w:rsid w:val="71B52DE7"/>
    <w:rsid w:val="71B73D81"/>
    <w:rsid w:val="71C56D5B"/>
    <w:rsid w:val="71D074AE"/>
    <w:rsid w:val="71F4319C"/>
    <w:rsid w:val="71F8183F"/>
    <w:rsid w:val="71FB79C9"/>
    <w:rsid w:val="720158B9"/>
    <w:rsid w:val="722717C4"/>
    <w:rsid w:val="7265261F"/>
    <w:rsid w:val="727E6E81"/>
    <w:rsid w:val="72B97594"/>
    <w:rsid w:val="72BD7A32"/>
    <w:rsid w:val="72CB65F3"/>
    <w:rsid w:val="72DB63C7"/>
    <w:rsid w:val="72DD3001"/>
    <w:rsid w:val="730D2663"/>
    <w:rsid w:val="73380C94"/>
    <w:rsid w:val="73410663"/>
    <w:rsid w:val="73542AAA"/>
    <w:rsid w:val="735B0D4B"/>
    <w:rsid w:val="736D76AA"/>
    <w:rsid w:val="7370719A"/>
    <w:rsid w:val="73AF6EB5"/>
    <w:rsid w:val="73B61051"/>
    <w:rsid w:val="73DD583E"/>
    <w:rsid w:val="74052CEB"/>
    <w:rsid w:val="74081624"/>
    <w:rsid w:val="740858DD"/>
    <w:rsid w:val="741A4048"/>
    <w:rsid w:val="7424237D"/>
    <w:rsid w:val="742868CF"/>
    <w:rsid w:val="743D1C12"/>
    <w:rsid w:val="74546174"/>
    <w:rsid w:val="74EC342C"/>
    <w:rsid w:val="74F17E67"/>
    <w:rsid w:val="74FD8541"/>
    <w:rsid w:val="75104791"/>
    <w:rsid w:val="75226272"/>
    <w:rsid w:val="75657150"/>
    <w:rsid w:val="756F6455"/>
    <w:rsid w:val="758B2F20"/>
    <w:rsid w:val="759058D2"/>
    <w:rsid w:val="75B726B5"/>
    <w:rsid w:val="75CC1203"/>
    <w:rsid w:val="75EB0D5A"/>
    <w:rsid w:val="760F2C8B"/>
    <w:rsid w:val="76431932"/>
    <w:rsid w:val="765E777E"/>
    <w:rsid w:val="76615969"/>
    <w:rsid w:val="766DA3B0"/>
    <w:rsid w:val="76821602"/>
    <w:rsid w:val="768216BE"/>
    <w:rsid w:val="76BA1F01"/>
    <w:rsid w:val="76EE28B0"/>
    <w:rsid w:val="76FF110A"/>
    <w:rsid w:val="77075720"/>
    <w:rsid w:val="771A3308"/>
    <w:rsid w:val="772A08C6"/>
    <w:rsid w:val="77382FA9"/>
    <w:rsid w:val="77416E84"/>
    <w:rsid w:val="77654D69"/>
    <w:rsid w:val="7782241B"/>
    <w:rsid w:val="77B96E76"/>
    <w:rsid w:val="77BD67B3"/>
    <w:rsid w:val="77BE0D98"/>
    <w:rsid w:val="77BEE70D"/>
    <w:rsid w:val="77C720FB"/>
    <w:rsid w:val="77E42AB3"/>
    <w:rsid w:val="77ED2E5B"/>
    <w:rsid w:val="77FF07F6"/>
    <w:rsid w:val="7836450F"/>
    <w:rsid w:val="784D40F5"/>
    <w:rsid w:val="78613F13"/>
    <w:rsid w:val="78683CC1"/>
    <w:rsid w:val="787A9229"/>
    <w:rsid w:val="78802C29"/>
    <w:rsid w:val="788F75C4"/>
    <w:rsid w:val="789E3E62"/>
    <w:rsid w:val="78D76CF5"/>
    <w:rsid w:val="78EF46BD"/>
    <w:rsid w:val="7911357C"/>
    <w:rsid w:val="79322EE8"/>
    <w:rsid w:val="793C41B9"/>
    <w:rsid w:val="79754E2A"/>
    <w:rsid w:val="79760B52"/>
    <w:rsid w:val="79A4194C"/>
    <w:rsid w:val="7A1F7224"/>
    <w:rsid w:val="7A2E1215"/>
    <w:rsid w:val="7A74131E"/>
    <w:rsid w:val="7A872CE5"/>
    <w:rsid w:val="7ADF8D34"/>
    <w:rsid w:val="7AEF4DC1"/>
    <w:rsid w:val="7B023629"/>
    <w:rsid w:val="7B0633E3"/>
    <w:rsid w:val="7B1D8028"/>
    <w:rsid w:val="7B20796E"/>
    <w:rsid w:val="7B736506"/>
    <w:rsid w:val="7BB57E40"/>
    <w:rsid w:val="7BB74ACC"/>
    <w:rsid w:val="7BC736D0"/>
    <w:rsid w:val="7BD858DD"/>
    <w:rsid w:val="7C4C34E3"/>
    <w:rsid w:val="7C574A54"/>
    <w:rsid w:val="7C61572E"/>
    <w:rsid w:val="7C9A0DE4"/>
    <w:rsid w:val="7CB173B0"/>
    <w:rsid w:val="7D1E37C3"/>
    <w:rsid w:val="7D1F7C67"/>
    <w:rsid w:val="7D40408A"/>
    <w:rsid w:val="7D6F1798"/>
    <w:rsid w:val="7D731D94"/>
    <w:rsid w:val="7D9851BC"/>
    <w:rsid w:val="7DB87616"/>
    <w:rsid w:val="7DBF2B5D"/>
    <w:rsid w:val="7DDD089C"/>
    <w:rsid w:val="7DF1933F"/>
    <w:rsid w:val="7DFEFF2A"/>
    <w:rsid w:val="7DFF3D2B"/>
    <w:rsid w:val="7E0471DB"/>
    <w:rsid w:val="7E6A732A"/>
    <w:rsid w:val="7E6FFBCC"/>
    <w:rsid w:val="7E7DA88C"/>
    <w:rsid w:val="7E8C3035"/>
    <w:rsid w:val="7E906BB1"/>
    <w:rsid w:val="7EB10D93"/>
    <w:rsid w:val="7ECF2FC7"/>
    <w:rsid w:val="7EDF542F"/>
    <w:rsid w:val="7EEF9286"/>
    <w:rsid w:val="7EF26CB5"/>
    <w:rsid w:val="7EFAD769"/>
    <w:rsid w:val="7F0B5E6C"/>
    <w:rsid w:val="7F4A22A7"/>
    <w:rsid w:val="7F4B1683"/>
    <w:rsid w:val="7F4B2516"/>
    <w:rsid w:val="7F741ADE"/>
    <w:rsid w:val="7F7F01A3"/>
    <w:rsid w:val="7F7F47FD"/>
    <w:rsid w:val="7F7F5C7C"/>
    <w:rsid w:val="7F7FE11C"/>
    <w:rsid w:val="7F886094"/>
    <w:rsid w:val="7F8E145F"/>
    <w:rsid w:val="7F914402"/>
    <w:rsid w:val="7F9B43E1"/>
    <w:rsid w:val="7FBC6E3E"/>
    <w:rsid w:val="7FBE66FF"/>
    <w:rsid w:val="7FCE7F8F"/>
    <w:rsid w:val="7FDECD68"/>
    <w:rsid w:val="7FE7A086"/>
    <w:rsid w:val="7FF83D49"/>
    <w:rsid w:val="7FFBE16A"/>
    <w:rsid w:val="7FFE2465"/>
    <w:rsid w:val="7FFEC4B6"/>
    <w:rsid w:val="7FFF45F8"/>
    <w:rsid w:val="97FFEC2C"/>
    <w:rsid w:val="9B3F1BA6"/>
    <w:rsid w:val="9F1F1CD6"/>
    <w:rsid w:val="9FFC40B8"/>
    <w:rsid w:val="A3EBFD90"/>
    <w:rsid w:val="AFDE66E1"/>
    <w:rsid w:val="AFF51BF3"/>
    <w:rsid w:val="B6CF1791"/>
    <w:rsid w:val="B7FBBC55"/>
    <w:rsid w:val="BBF5637F"/>
    <w:rsid w:val="BBFF5C6A"/>
    <w:rsid w:val="BD1D645D"/>
    <w:rsid w:val="BD4BA373"/>
    <w:rsid w:val="BDE984A2"/>
    <w:rsid w:val="BF9F064A"/>
    <w:rsid w:val="BFB7C225"/>
    <w:rsid w:val="BFCD3C29"/>
    <w:rsid w:val="BFDFF450"/>
    <w:rsid w:val="BFFA6B04"/>
    <w:rsid w:val="BFFC5EB4"/>
    <w:rsid w:val="BFFF79B1"/>
    <w:rsid w:val="C6DF27BE"/>
    <w:rsid w:val="CBFD9805"/>
    <w:rsid w:val="CE2A7484"/>
    <w:rsid w:val="CF4A3BD4"/>
    <w:rsid w:val="D68EA1CE"/>
    <w:rsid w:val="D7FF31F7"/>
    <w:rsid w:val="DB3F7D32"/>
    <w:rsid w:val="DB7F9349"/>
    <w:rsid w:val="DBFF9ABB"/>
    <w:rsid w:val="DD7EE65C"/>
    <w:rsid w:val="DDE3AF61"/>
    <w:rsid w:val="DDFAA45B"/>
    <w:rsid w:val="DDFFE250"/>
    <w:rsid w:val="DE2737F8"/>
    <w:rsid w:val="DF5FDC94"/>
    <w:rsid w:val="DFFFA5E1"/>
    <w:rsid w:val="DFFFE8C7"/>
    <w:rsid w:val="E3DF2BCA"/>
    <w:rsid w:val="E57F4077"/>
    <w:rsid w:val="E5F72975"/>
    <w:rsid w:val="E5FE84B4"/>
    <w:rsid w:val="E7FB8BC9"/>
    <w:rsid w:val="E7FF9CD7"/>
    <w:rsid w:val="E86BF4E0"/>
    <w:rsid w:val="EB7DF456"/>
    <w:rsid w:val="ED7AC3B9"/>
    <w:rsid w:val="EDDC4E8E"/>
    <w:rsid w:val="EEBBEDF1"/>
    <w:rsid w:val="EEF1A86D"/>
    <w:rsid w:val="EFDF9FA5"/>
    <w:rsid w:val="EFED58C8"/>
    <w:rsid w:val="F2F3CB53"/>
    <w:rsid w:val="F3D7C109"/>
    <w:rsid w:val="F3FB518C"/>
    <w:rsid w:val="F7DA6202"/>
    <w:rsid w:val="F7DC3D59"/>
    <w:rsid w:val="F7DEC51B"/>
    <w:rsid w:val="F7E7FFCF"/>
    <w:rsid w:val="F7EBB146"/>
    <w:rsid w:val="F7FD0648"/>
    <w:rsid w:val="F9B69A27"/>
    <w:rsid w:val="FABD043A"/>
    <w:rsid w:val="FABD63AF"/>
    <w:rsid w:val="FAFE71B5"/>
    <w:rsid w:val="FBF799B6"/>
    <w:rsid w:val="FBFBFF46"/>
    <w:rsid w:val="FCA60A75"/>
    <w:rsid w:val="FCB70A07"/>
    <w:rsid w:val="FD3C4C8E"/>
    <w:rsid w:val="FD3F5B5F"/>
    <w:rsid w:val="FD6EB750"/>
    <w:rsid w:val="FDB9F5CF"/>
    <w:rsid w:val="FDFB17E3"/>
    <w:rsid w:val="FE97686C"/>
    <w:rsid w:val="FEDB093C"/>
    <w:rsid w:val="FF1E15B0"/>
    <w:rsid w:val="FF75C932"/>
    <w:rsid w:val="FFBA41FB"/>
    <w:rsid w:val="FFBFADAA"/>
    <w:rsid w:val="FFDBE914"/>
    <w:rsid w:val="FFDF143E"/>
    <w:rsid w:val="FFF5D551"/>
    <w:rsid w:val="FFF71B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adjustRightInd w:val="0"/>
      <w:spacing w:before="260" w:after="260" w:line="416" w:lineRule="atLeast"/>
      <w:outlineLvl w:val="2"/>
    </w:pPr>
    <w:rPr>
      <w:b/>
      <w:kern w:val="0"/>
      <w:sz w:val="24"/>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99"/>
    <w:pPr>
      <w:ind w:firstLine="420"/>
    </w:pPr>
    <w:rPr>
      <w:kern w:val="0"/>
      <w:szCs w:val="20"/>
    </w:rPr>
  </w:style>
  <w:style w:type="paragraph" w:styleId="4">
    <w:name w:val="Document Map"/>
    <w:basedOn w:val="1"/>
    <w:link w:val="16"/>
    <w:semiHidden/>
    <w:unhideWhenUsed/>
    <w:qFormat/>
    <w:uiPriority w:val="99"/>
    <w:rPr>
      <w:rFonts w:ascii="宋体" w:eastAsia="宋体"/>
      <w:sz w:val="18"/>
      <w:szCs w:val="18"/>
    </w:rPr>
  </w:style>
  <w:style w:type="paragraph" w:styleId="5">
    <w:name w:val="annotation text"/>
    <w:basedOn w:val="1"/>
    <w:link w:val="21"/>
    <w:semiHidden/>
    <w:unhideWhenUsed/>
    <w:qFormat/>
    <w:uiPriority w:val="99"/>
    <w:pPr>
      <w:jc w:val="left"/>
    </w:pPr>
  </w:style>
  <w:style w:type="paragraph" w:styleId="6">
    <w:name w:val="Balloon Text"/>
    <w:basedOn w:val="1"/>
    <w:link w:val="20"/>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annotation subject"/>
    <w:basedOn w:val="5"/>
    <w:next w:val="5"/>
    <w:link w:val="22"/>
    <w:semiHidden/>
    <w:unhideWhenUsed/>
    <w:qFormat/>
    <w:uiPriority w:val="99"/>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4">
    <w:name w:val="Strong"/>
    <w:basedOn w:val="13"/>
    <w:qFormat/>
    <w:uiPriority w:val="22"/>
    <w:rPr>
      <w:b/>
    </w:rPr>
  </w:style>
  <w:style w:type="character" w:styleId="15">
    <w:name w:val="annotation reference"/>
    <w:basedOn w:val="13"/>
    <w:semiHidden/>
    <w:unhideWhenUsed/>
    <w:qFormat/>
    <w:uiPriority w:val="99"/>
    <w:rPr>
      <w:sz w:val="21"/>
      <w:szCs w:val="21"/>
    </w:rPr>
  </w:style>
  <w:style w:type="character" w:customStyle="1" w:styleId="16">
    <w:name w:val="文档结构图 Char"/>
    <w:basedOn w:val="13"/>
    <w:link w:val="4"/>
    <w:semiHidden/>
    <w:qFormat/>
    <w:uiPriority w:val="99"/>
    <w:rPr>
      <w:rFonts w:ascii="宋体" w:eastAsia="宋体"/>
      <w:sz w:val="18"/>
      <w:szCs w:val="18"/>
    </w:rPr>
  </w:style>
  <w:style w:type="paragraph" w:styleId="17">
    <w:name w:val="List Paragraph"/>
    <w:basedOn w:val="1"/>
    <w:qFormat/>
    <w:uiPriority w:val="34"/>
    <w:pPr>
      <w:ind w:firstLine="420" w:firstLineChars="200"/>
    </w:pPr>
  </w:style>
  <w:style w:type="character" w:customStyle="1" w:styleId="18">
    <w:name w:val="页眉 Char"/>
    <w:basedOn w:val="13"/>
    <w:link w:val="8"/>
    <w:semiHidden/>
    <w:qFormat/>
    <w:uiPriority w:val="99"/>
    <w:rPr>
      <w:kern w:val="2"/>
      <w:sz w:val="18"/>
      <w:szCs w:val="18"/>
    </w:rPr>
  </w:style>
  <w:style w:type="character" w:customStyle="1" w:styleId="19">
    <w:name w:val="页脚 Char"/>
    <w:basedOn w:val="13"/>
    <w:link w:val="7"/>
    <w:qFormat/>
    <w:uiPriority w:val="99"/>
    <w:rPr>
      <w:kern w:val="2"/>
      <w:sz w:val="18"/>
      <w:szCs w:val="18"/>
    </w:rPr>
  </w:style>
  <w:style w:type="character" w:customStyle="1" w:styleId="20">
    <w:name w:val="批注框文本 Char"/>
    <w:basedOn w:val="13"/>
    <w:link w:val="6"/>
    <w:semiHidden/>
    <w:qFormat/>
    <w:uiPriority w:val="99"/>
    <w:rPr>
      <w:kern w:val="2"/>
      <w:sz w:val="18"/>
      <w:szCs w:val="18"/>
    </w:rPr>
  </w:style>
  <w:style w:type="character" w:customStyle="1" w:styleId="21">
    <w:name w:val="批注文字 Char"/>
    <w:basedOn w:val="13"/>
    <w:link w:val="5"/>
    <w:semiHidden/>
    <w:qFormat/>
    <w:uiPriority w:val="99"/>
    <w:rPr>
      <w:kern w:val="2"/>
      <w:sz w:val="21"/>
      <w:szCs w:val="22"/>
    </w:rPr>
  </w:style>
  <w:style w:type="character" w:customStyle="1" w:styleId="22">
    <w:name w:val="批注主题 Char"/>
    <w:basedOn w:val="21"/>
    <w:link w:val="10"/>
    <w:semiHidden/>
    <w:qFormat/>
    <w:uiPriority w:val="99"/>
    <w:rPr>
      <w:b/>
      <w:bCs/>
    </w:rPr>
  </w:style>
  <w:style w:type="paragraph" w:customStyle="1" w:styleId="23">
    <w:name w:val="Fließtext"/>
    <w:qFormat/>
    <w:uiPriority w:val="99"/>
    <w:pPr>
      <w:widowControl w:val="0"/>
      <w:overflowPunct w:val="0"/>
      <w:autoSpaceDE w:val="0"/>
      <w:autoSpaceDN w:val="0"/>
      <w:adjustRightInd w:val="0"/>
      <w:jc w:val="both"/>
      <w:textAlignment w:val="baseline"/>
    </w:pPr>
    <w:rPr>
      <w:rFonts w:ascii="Times New Roman" w:hAnsi="Times New Roman" w:eastAsia="宋体" w:cs="Times New Roman"/>
      <w:kern w:val="28"/>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AF43E-F14D-49B3-AAA7-7C55463DDD2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1693</Words>
  <Characters>9655</Characters>
  <Lines>80</Lines>
  <Paragraphs>22</Paragraphs>
  <TotalTime>2</TotalTime>
  <ScaleCrop>false</ScaleCrop>
  <LinksUpToDate>false</LinksUpToDate>
  <CharactersWithSpaces>11326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2026-07-06T11:00:00Z</dcterms:created>
  <dc:creator>Microsoft</dc:creator>
  <cp:lastModifiedBy>admin</cp:lastModifiedBy>
  <cp:lastPrinted>2026-07-06T11:26:00Z</cp:lastPrinted>
  <dcterms:modified xsi:type="dcterms:W3CDTF">2026-07-08T00:32:44Z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27976796CF8E4949993B468E917FE3B2_13</vt:lpwstr>
  </property>
</Properties>
</file>